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15EFBE">
      <w:pPr>
        <w:spacing w:line="540" w:lineRule="exact"/>
        <w:jc w:val="center"/>
        <w:rPr>
          <w:rFonts w:ascii="华文中宋" w:hAnsi="华文中宋" w:eastAsia="华文中宋"/>
          <w:b/>
          <w:color w:val="auto"/>
          <w:sz w:val="52"/>
          <w:szCs w:val="52"/>
          <w:highlight w:val="none"/>
        </w:rPr>
      </w:pPr>
      <w:bookmarkStart w:id="2" w:name="_GoBack"/>
      <w:bookmarkEnd w:id="2"/>
    </w:p>
    <w:p w14:paraId="7FA4093F">
      <w:pPr>
        <w:jc w:val="center"/>
        <w:rPr>
          <w:rFonts w:ascii="黑体" w:eastAsia="黑体"/>
          <w:color w:val="auto"/>
          <w:sz w:val="44"/>
          <w:szCs w:val="44"/>
          <w:highlight w:val="none"/>
        </w:rPr>
      </w:pPr>
    </w:p>
    <w:p w14:paraId="423C4388">
      <w:pPr>
        <w:jc w:val="center"/>
        <w:rPr>
          <w:rFonts w:ascii="华文中宋" w:hAnsi="华文中宋" w:eastAsia="华文中宋"/>
          <w:b/>
          <w:color w:val="auto"/>
          <w:sz w:val="52"/>
          <w:szCs w:val="52"/>
          <w:highlight w:val="none"/>
        </w:rPr>
      </w:pPr>
      <w:r>
        <w:rPr>
          <w:rFonts w:ascii="黑体" w:eastAsia="黑体"/>
          <w:color w:val="auto"/>
          <w:sz w:val="44"/>
          <w:szCs w:val="44"/>
          <w:highlight w:val="none"/>
        </w:rPr>
        <w:drawing>
          <wp:inline distT="0" distB="0" distL="0" distR="0">
            <wp:extent cx="1445895" cy="1085850"/>
            <wp:effectExtent l="19050" t="0" r="1709" b="0"/>
            <wp:docPr id="1" name="图片 1" descr="C:\Users\Administrator\Desktop\11580894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1158089490.jpg"/>
                    <pic:cNvPicPr>
                      <a:picLocks noChangeAspect="1" noChangeArrowheads="1"/>
                    </pic:cNvPicPr>
                  </pic:nvPicPr>
                  <pic:blipFill>
                    <a:blip r:embed="rId7" cstate="print"/>
                    <a:srcRect/>
                    <a:stretch>
                      <a:fillRect/>
                    </a:stretch>
                  </pic:blipFill>
                  <pic:spPr>
                    <a:xfrm>
                      <a:off x="0" y="0"/>
                      <a:ext cx="1449860" cy="1089209"/>
                    </a:xfrm>
                    <a:prstGeom prst="rect">
                      <a:avLst/>
                    </a:prstGeom>
                    <a:noFill/>
                    <a:ln w="9525">
                      <a:noFill/>
                      <a:miter lim="800000"/>
                      <a:headEnd/>
                      <a:tailEnd/>
                    </a:ln>
                  </pic:spPr>
                </pic:pic>
              </a:graphicData>
            </a:graphic>
          </wp:inline>
        </w:drawing>
      </w:r>
    </w:p>
    <w:p w14:paraId="784B510E">
      <w:pPr>
        <w:spacing w:line="540" w:lineRule="exact"/>
        <w:jc w:val="center"/>
        <w:rPr>
          <w:rFonts w:ascii="方正小标宋简体" w:hAnsi="华文中宋" w:eastAsia="方正小标宋简体"/>
          <w:color w:val="auto"/>
          <w:sz w:val="52"/>
          <w:szCs w:val="52"/>
          <w:highlight w:val="none"/>
        </w:rPr>
      </w:pPr>
      <w:r>
        <w:rPr>
          <w:rFonts w:hint="eastAsia" w:ascii="方正小标宋简体" w:hAnsi="华文中宋" w:eastAsia="方正小标宋简体"/>
          <w:color w:val="auto"/>
          <w:sz w:val="52"/>
          <w:szCs w:val="52"/>
          <w:highlight w:val="none"/>
        </w:rPr>
        <w:t>实物资产出租交易申请书</w:t>
      </w:r>
    </w:p>
    <w:p w14:paraId="7CB713FB">
      <w:pPr>
        <w:rPr>
          <w:color w:val="auto"/>
          <w:highlight w:val="none"/>
        </w:rPr>
      </w:pPr>
    </w:p>
    <w:p w14:paraId="49480F2E">
      <w:pPr>
        <w:rPr>
          <w:color w:val="auto"/>
          <w:sz w:val="30"/>
          <w:highlight w:val="none"/>
        </w:rPr>
      </w:pPr>
    </w:p>
    <w:p w14:paraId="1FD0781D">
      <w:pPr>
        <w:rPr>
          <w:color w:val="auto"/>
          <w:sz w:val="30"/>
          <w:highlight w:val="none"/>
        </w:rPr>
      </w:pPr>
    </w:p>
    <w:p w14:paraId="1E61F8DA">
      <w:pPr>
        <w:rPr>
          <w:color w:val="auto"/>
          <w:sz w:val="32"/>
          <w:szCs w:val="32"/>
          <w:highlight w:val="none"/>
        </w:rPr>
      </w:pPr>
      <w:r>
        <w:rPr>
          <w:rFonts w:hint="eastAsia"/>
          <w:color w:val="auto"/>
          <w:sz w:val="32"/>
          <w:szCs w:val="32"/>
          <w:highlight w:val="none"/>
        </w:rPr>
        <w:t>出租标的名称：济南野生动物世界</w:t>
      </w:r>
      <w:r>
        <w:rPr>
          <w:rFonts w:hint="eastAsia"/>
          <w:color w:val="auto"/>
          <w:sz w:val="32"/>
          <w:szCs w:val="32"/>
          <w:highlight w:val="none"/>
          <w:lang w:val="en-US" w:eastAsia="zh-CN"/>
        </w:rPr>
        <w:t>自驾游部分土地</w:t>
      </w:r>
      <w:r>
        <w:rPr>
          <w:rFonts w:hint="eastAsia"/>
          <w:color w:val="auto"/>
          <w:sz w:val="32"/>
          <w:szCs w:val="32"/>
          <w:highlight w:val="none"/>
        </w:rPr>
        <w:t>1年使用权</w:t>
      </w:r>
    </w:p>
    <w:p w14:paraId="457C2E5E">
      <w:pPr>
        <w:rPr>
          <w:rFonts w:ascii="宋体"/>
          <w:color w:val="auto"/>
          <w:sz w:val="32"/>
          <w:szCs w:val="32"/>
          <w:highlight w:val="none"/>
        </w:rPr>
      </w:pPr>
    </w:p>
    <w:p w14:paraId="655F2E8E">
      <w:pPr>
        <w:rPr>
          <w:rFonts w:ascii="宋体"/>
          <w:color w:val="auto"/>
          <w:sz w:val="32"/>
          <w:szCs w:val="32"/>
          <w:highlight w:val="none"/>
        </w:rPr>
      </w:pPr>
      <w:r>
        <w:rPr>
          <w:rFonts w:hint="eastAsia" w:ascii="宋体"/>
          <w:color w:val="auto"/>
          <w:sz w:val="32"/>
          <w:szCs w:val="32"/>
          <w:highlight w:val="none"/>
        </w:rPr>
        <w:t>出租单位（盖章）：</w:t>
      </w:r>
      <w:r>
        <w:rPr>
          <w:rFonts w:hint="eastAsia"/>
          <w:color w:val="auto"/>
          <w:sz w:val="32"/>
          <w:szCs w:val="32"/>
          <w:highlight w:val="none"/>
        </w:rPr>
        <w:t>济南野生动物世界有限公司</w:t>
      </w:r>
    </w:p>
    <w:p w14:paraId="5FF182CD">
      <w:pPr>
        <w:rPr>
          <w:rFonts w:ascii="宋体"/>
          <w:color w:val="auto"/>
          <w:sz w:val="32"/>
          <w:szCs w:val="32"/>
          <w:highlight w:val="none"/>
        </w:rPr>
      </w:pPr>
    </w:p>
    <w:p w14:paraId="7F4A6110">
      <w:pPr>
        <w:rPr>
          <w:rFonts w:ascii="宋体"/>
          <w:color w:val="auto"/>
          <w:sz w:val="32"/>
          <w:szCs w:val="32"/>
          <w:highlight w:val="none"/>
        </w:rPr>
      </w:pPr>
      <w:r>
        <w:rPr>
          <w:rFonts w:hint="eastAsia" w:ascii="宋体"/>
          <w:color w:val="auto"/>
          <w:sz w:val="32"/>
          <w:szCs w:val="32"/>
          <w:highlight w:val="none"/>
        </w:rPr>
        <w:t>法定代表人（签章）：</w:t>
      </w:r>
    </w:p>
    <w:p w14:paraId="1ED572A0">
      <w:pPr>
        <w:rPr>
          <w:rFonts w:ascii="宋体"/>
          <w:color w:val="auto"/>
          <w:sz w:val="32"/>
          <w:szCs w:val="32"/>
          <w:highlight w:val="none"/>
        </w:rPr>
      </w:pPr>
    </w:p>
    <w:p w14:paraId="05FB9350">
      <w:pPr>
        <w:rPr>
          <w:rFonts w:ascii="宋体"/>
          <w:color w:val="auto"/>
          <w:sz w:val="32"/>
          <w:szCs w:val="32"/>
          <w:highlight w:val="none"/>
        </w:rPr>
      </w:pPr>
    </w:p>
    <w:p w14:paraId="3F7F38FE">
      <w:pPr>
        <w:spacing w:line="360" w:lineRule="exact"/>
        <w:jc w:val="center"/>
        <w:rPr>
          <w:rFonts w:ascii="宋体" w:hAnsi="宋体"/>
          <w:b/>
          <w:color w:val="auto"/>
          <w:sz w:val="32"/>
          <w:szCs w:val="32"/>
          <w:highlight w:val="none"/>
        </w:rPr>
      </w:pPr>
    </w:p>
    <w:p w14:paraId="750CA756">
      <w:pPr>
        <w:spacing w:line="360" w:lineRule="exact"/>
        <w:jc w:val="center"/>
        <w:rPr>
          <w:rFonts w:ascii="宋体" w:hAnsi="宋体"/>
          <w:b/>
          <w:color w:val="auto"/>
          <w:sz w:val="32"/>
          <w:szCs w:val="32"/>
          <w:highlight w:val="none"/>
        </w:rPr>
      </w:pPr>
      <w:r>
        <w:rPr>
          <w:rFonts w:hint="eastAsia" w:ascii="宋体"/>
          <w:color w:val="auto"/>
          <w:sz w:val="32"/>
          <w:szCs w:val="32"/>
          <w:highlight w:val="none"/>
        </w:rPr>
        <w:t>填报日期：    年    月    日</w:t>
      </w:r>
    </w:p>
    <w:p w14:paraId="1E986939">
      <w:pPr>
        <w:spacing w:line="360" w:lineRule="exact"/>
        <w:jc w:val="center"/>
        <w:rPr>
          <w:rFonts w:ascii="宋体" w:hAnsi="宋体"/>
          <w:b/>
          <w:color w:val="auto"/>
          <w:sz w:val="32"/>
          <w:szCs w:val="32"/>
          <w:highlight w:val="none"/>
        </w:rPr>
      </w:pPr>
    </w:p>
    <w:p w14:paraId="0F8671FC">
      <w:pPr>
        <w:spacing w:line="360" w:lineRule="exact"/>
        <w:jc w:val="center"/>
        <w:rPr>
          <w:rFonts w:ascii="宋体" w:hAnsi="宋体"/>
          <w:b/>
          <w:color w:val="auto"/>
          <w:sz w:val="32"/>
          <w:szCs w:val="32"/>
          <w:highlight w:val="none"/>
        </w:rPr>
      </w:pPr>
    </w:p>
    <w:p w14:paraId="74988632">
      <w:pPr>
        <w:spacing w:line="360" w:lineRule="exact"/>
        <w:jc w:val="center"/>
        <w:rPr>
          <w:rFonts w:ascii="宋体" w:hAnsi="宋体"/>
          <w:b/>
          <w:color w:val="auto"/>
          <w:sz w:val="32"/>
          <w:szCs w:val="32"/>
          <w:highlight w:val="none"/>
        </w:rPr>
      </w:pPr>
    </w:p>
    <w:p w14:paraId="1FDE1FF6">
      <w:pPr>
        <w:spacing w:line="360" w:lineRule="exact"/>
        <w:jc w:val="center"/>
        <w:rPr>
          <w:rFonts w:ascii="宋体" w:hAnsi="宋体"/>
          <w:b/>
          <w:color w:val="auto"/>
          <w:sz w:val="32"/>
          <w:szCs w:val="32"/>
          <w:highlight w:val="none"/>
        </w:rPr>
      </w:pPr>
    </w:p>
    <w:p w14:paraId="0B0E1AA4">
      <w:pPr>
        <w:spacing w:line="360" w:lineRule="exact"/>
        <w:rPr>
          <w:rFonts w:ascii="宋体" w:hAnsi="宋体"/>
          <w:b/>
          <w:color w:val="auto"/>
          <w:sz w:val="32"/>
          <w:szCs w:val="32"/>
          <w:highlight w:val="none"/>
        </w:rPr>
      </w:pPr>
    </w:p>
    <w:p w14:paraId="6122F830">
      <w:pPr>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济南公共资源（国有产权）交易中心</w:t>
      </w:r>
    </w:p>
    <w:p w14:paraId="28357F5B">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济南产权交易服务有限公司</w:t>
      </w:r>
    </w:p>
    <w:p w14:paraId="363196AA">
      <w:pPr>
        <w:spacing w:line="560" w:lineRule="exact"/>
        <w:jc w:val="center"/>
        <w:rPr>
          <w:rFonts w:ascii="宋体" w:hAnsi="宋体"/>
          <w:b/>
          <w:color w:val="auto"/>
          <w:sz w:val="44"/>
          <w:szCs w:val="44"/>
          <w:highlight w:val="none"/>
        </w:rPr>
      </w:pPr>
      <w:r>
        <w:rPr>
          <w:rFonts w:hint="eastAsia" w:ascii="宋体" w:hAnsi="宋体"/>
          <w:b/>
          <w:color w:val="auto"/>
          <w:sz w:val="44"/>
          <w:szCs w:val="44"/>
          <w:highlight w:val="none"/>
        </w:rPr>
        <w:t>承诺函</w:t>
      </w:r>
    </w:p>
    <w:p w14:paraId="2A74BFD6">
      <w:pPr>
        <w:spacing w:line="560" w:lineRule="exact"/>
        <w:rPr>
          <w:rFonts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鉴于：</w:t>
      </w:r>
    </w:p>
    <w:p w14:paraId="23BB9FE0">
      <w:pPr>
        <w:spacing w:line="560" w:lineRule="exact"/>
        <w:jc w:val="left"/>
        <w:rPr>
          <w:rFonts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　　我单位向济南产权交易服务有限公司（以下简称“交易公司”）委托实物资产公开出租，兹就有关情况作如下承诺：</w:t>
      </w:r>
    </w:p>
    <w:p w14:paraId="2C0F106B">
      <w:pPr>
        <w:spacing w:line="560" w:lineRule="exact"/>
        <w:ind w:firstLine="640" w:firstLineChars="200"/>
        <w:rPr>
          <w:rFonts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1、我单位出租的实物资产，产权权属关系清晰，对该标的拥有合法的所有权或使用权，无使用争议和法律纠纷。若</w:t>
      </w:r>
      <w:r>
        <w:rPr>
          <w:rFonts w:hint="eastAsia" w:ascii="仿宋_GB2312" w:hAnsi="微软雅黑" w:eastAsia="仿宋_GB2312" w:cs="宋体"/>
          <w:color w:val="auto"/>
          <w:sz w:val="32"/>
          <w:szCs w:val="32"/>
          <w:highlight w:val="none"/>
        </w:rPr>
        <w:t>该标的存在他项权利，我单位也已经排除他项权利或取得权利人同意，方对外进行出租</w:t>
      </w:r>
      <w:r>
        <w:rPr>
          <w:rFonts w:hint="eastAsia" w:ascii="仿宋_GB2312" w:hAnsi="宋体" w:eastAsia="仿宋_GB2312"/>
          <w:color w:val="auto"/>
          <w:sz w:val="32"/>
          <w:szCs w:val="32"/>
          <w:highlight w:val="none"/>
        </w:rPr>
        <w:t>。</w:t>
      </w:r>
    </w:p>
    <w:p w14:paraId="223569B0">
      <w:pPr>
        <w:spacing w:line="560" w:lineRule="exact"/>
        <w:ind w:firstLine="640" w:firstLineChars="200"/>
        <w:rPr>
          <w:rFonts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2、我单位实物资产出租的相关行为已履行了相应程序，经过有效的内部决策，并获得相应批准。</w:t>
      </w:r>
    </w:p>
    <w:p w14:paraId="7C43717B">
      <w:pPr>
        <w:spacing w:line="560" w:lineRule="exact"/>
        <w:ind w:firstLine="640" w:firstLineChars="200"/>
        <w:rPr>
          <w:rFonts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3、我单位已按要求填写、递交了实物资产公开出租申请材料，并对所填写内容及递交材料的真实性、合法性和完整性承担责任。</w:t>
      </w:r>
    </w:p>
    <w:p w14:paraId="57FBB3ED">
      <w:pPr>
        <w:spacing w:line="560" w:lineRule="exact"/>
        <w:ind w:firstLine="640" w:firstLineChars="200"/>
        <w:rPr>
          <w:rFonts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4、我单位承诺在交易公司进行实物资产统一公开出租期间，按照交易公司的相关规则进行出租，不以交易公司名义进行非法出租或者在场外出租。若发生上述事项，我单位承担相关的经济和法律责任。</w:t>
      </w:r>
    </w:p>
    <w:p w14:paraId="550F28CF">
      <w:pPr>
        <w:spacing w:line="560" w:lineRule="exact"/>
        <w:ind w:firstLine="640" w:firstLineChars="200"/>
        <w:rPr>
          <w:rFonts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5、我单位承诺对意向承租方相关信息承担保密责任，不透漏意向承租方相关信息，不与意向承租方串通干扰正常的实物资产统一公开出租。</w:t>
      </w:r>
    </w:p>
    <w:p w14:paraId="5B2F4E57">
      <w:pPr>
        <w:spacing w:line="560" w:lineRule="exact"/>
        <w:ind w:firstLine="640" w:firstLineChars="200"/>
        <w:rPr>
          <w:rFonts w:ascii="仿宋_GB2312" w:hAnsi="宋体" w:eastAsia="仿宋_GB2312"/>
          <w:color w:val="auto"/>
          <w:sz w:val="32"/>
          <w:szCs w:val="32"/>
          <w:highlight w:val="none"/>
          <w:u w:val="single"/>
        </w:rPr>
      </w:pPr>
      <w:r>
        <w:rPr>
          <w:rFonts w:hint="eastAsia" w:ascii="仿宋_GB2312" w:hAnsi="宋体" w:eastAsia="仿宋_GB2312"/>
          <w:color w:val="auto"/>
          <w:sz w:val="32"/>
          <w:szCs w:val="32"/>
          <w:highlight w:val="none"/>
        </w:rPr>
        <w:t>6、我单位承诺在自身发生违规违约行为时，依法承担全部违约及赔偿责任。</w:t>
      </w:r>
    </w:p>
    <w:p w14:paraId="6DD0CCEA">
      <w:pPr>
        <w:spacing w:line="560" w:lineRule="exact"/>
        <w:rPr>
          <w:rFonts w:ascii="仿宋_GB2312" w:hAnsi="宋体" w:eastAsia="仿宋_GB2312"/>
          <w:color w:val="auto"/>
          <w:sz w:val="32"/>
          <w:szCs w:val="32"/>
          <w:highlight w:val="none"/>
        </w:rPr>
      </w:pPr>
    </w:p>
    <w:p w14:paraId="0BAE6291">
      <w:pPr>
        <w:spacing w:line="560" w:lineRule="exact"/>
        <w:jc w:val="center"/>
        <w:rPr>
          <w:rFonts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 xml:space="preserve">       出租单位（盖章）：</w:t>
      </w:r>
    </w:p>
    <w:p w14:paraId="4731E8E4">
      <w:pPr>
        <w:spacing w:line="360" w:lineRule="auto"/>
        <w:jc w:val="center"/>
        <w:rPr>
          <w:b/>
          <w:color w:val="auto"/>
          <w:spacing w:val="-4"/>
          <w:sz w:val="44"/>
          <w:szCs w:val="44"/>
          <w:highlight w:val="none"/>
        </w:rPr>
      </w:pPr>
      <w:r>
        <w:rPr>
          <w:rFonts w:hint="eastAsia"/>
          <w:b/>
          <w:color w:val="auto"/>
          <w:spacing w:val="-4"/>
          <w:sz w:val="44"/>
          <w:szCs w:val="44"/>
          <w:highlight w:val="none"/>
        </w:rPr>
        <w:t>出租方案</w:t>
      </w:r>
    </w:p>
    <w:p w14:paraId="55001F62">
      <w:pPr>
        <w:spacing w:line="360" w:lineRule="auto"/>
        <w:jc w:val="left"/>
        <w:rPr>
          <w:rFonts w:ascii="黑体" w:hAnsi="黑体" w:eastAsia="黑体"/>
          <w:color w:val="auto"/>
          <w:spacing w:val="-4"/>
          <w:sz w:val="32"/>
          <w:szCs w:val="32"/>
          <w:highlight w:val="none"/>
        </w:rPr>
      </w:pPr>
      <w:r>
        <w:rPr>
          <w:rFonts w:hint="eastAsia" w:ascii="黑体" w:hAnsi="黑体" w:eastAsia="黑体"/>
          <w:color w:val="auto"/>
          <w:spacing w:val="-4"/>
          <w:sz w:val="32"/>
          <w:szCs w:val="32"/>
          <w:highlight w:val="none"/>
        </w:rPr>
        <w:t>一、标的基本情况</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1636"/>
        <w:gridCol w:w="2318"/>
        <w:gridCol w:w="1417"/>
        <w:gridCol w:w="2077"/>
      </w:tblGrid>
      <w:tr w14:paraId="720E2C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75" w:type="dxa"/>
            <w:vMerge w:val="restart"/>
            <w:vAlign w:val="center"/>
          </w:tcPr>
          <w:p w14:paraId="5650FA6C">
            <w:pPr>
              <w:jc w:val="center"/>
              <w:rPr>
                <w:rFonts w:ascii="仿宋_GB2312" w:hAnsi="宋体" w:eastAsia="仿宋_GB2312"/>
                <w:b/>
                <w:color w:val="auto"/>
                <w:sz w:val="24"/>
                <w:szCs w:val="24"/>
                <w:highlight w:val="none"/>
              </w:rPr>
            </w:pPr>
            <w:r>
              <w:rPr>
                <w:rFonts w:hint="eastAsia" w:ascii="仿宋_GB2312" w:hAnsi="宋体" w:eastAsia="仿宋_GB2312"/>
                <w:b/>
                <w:color w:val="auto"/>
                <w:sz w:val="24"/>
                <w:szCs w:val="24"/>
                <w:highlight w:val="none"/>
              </w:rPr>
              <w:t>出租单位基本情况</w:t>
            </w:r>
          </w:p>
        </w:tc>
        <w:tc>
          <w:tcPr>
            <w:tcW w:w="1636" w:type="dxa"/>
            <w:vAlign w:val="center"/>
          </w:tcPr>
          <w:p w14:paraId="14DFB1AB">
            <w:pPr>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单位名称</w:t>
            </w:r>
          </w:p>
        </w:tc>
        <w:tc>
          <w:tcPr>
            <w:tcW w:w="5812" w:type="dxa"/>
            <w:gridSpan w:val="3"/>
            <w:vAlign w:val="center"/>
          </w:tcPr>
          <w:p w14:paraId="3C009A55">
            <w:pPr>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济南野生动物世界有限公司</w:t>
            </w:r>
          </w:p>
        </w:tc>
      </w:tr>
      <w:tr w14:paraId="00272E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75" w:type="dxa"/>
            <w:vMerge w:val="continue"/>
            <w:vAlign w:val="center"/>
          </w:tcPr>
          <w:p w14:paraId="34FF1523">
            <w:pPr>
              <w:jc w:val="center"/>
              <w:rPr>
                <w:rFonts w:ascii="仿宋_GB2312" w:hAnsi="宋体" w:eastAsia="仿宋_GB2312"/>
                <w:b/>
                <w:color w:val="auto"/>
                <w:sz w:val="24"/>
                <w:szCs w:val="24"/>
                <w:highlight w:val="none"/>
              </w:rPr>
            </w:pPr>
          </w:p>
        </w:tc>
        <w:tc>
          <w:tcPr>
            <w:tcW w:w="1636" w:type="dxa"/>
            <w:vAlign w:val="center"/>
          </w:tcPr>
          <w:p w14:paraId="7C1C51B1">
            <w:pPr>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单位地址</w:t>
            </w:r>
          </w:p>
        </w:tc>
        <w:tc>
          <w:tcPr>
            <w:tcW w:w="5812" w:type="dxa"/>
            <w:gridSpan w:val="3"/>
            <w:vAlign w:val="center"/>
          </w:tcPr>
          <w:p w14:paraId="2DCA186C">
            <w:pPr>
              <w:jc w:val="center"/>
              <w:rPr>
                <w:rFonts w:hint="eastAsia" w:ascii="仿宋_GB2312" w:hAnsi="宋体" w:eastAsia="仿宋_GB2312"/>
                <w:color w:val="auto"/>
                <w:sz w:val="24"/>
                <w:szCs w:val="24"/>
                <w:highlight w:val="none"/>
                <w:lang w:eastAsia="zh-CN"/>
              </w:rPr>
            </w:pPr>
            <w:r>
              <w:rPr>
                <w:rFonts w:hint="eastAsia" w:ascii="仿宋_GB2312" w:hAnsi="宋体" w:eastAsia="仿宋_GB2312"/>
                <w:color w:val="auto"/>
                <w:sz w:val="24"/>
                <w:szCs w:val="24"/>
                <w:highlight w:val="none"/>
              </w:rPr>
              <w:t>济南市章丘区埠村街道办事处s244线26800号</w:t>
            </w:r>
            <w:r>
              <w:rPr>
                <w:rFonts w:hint="eastAsia" w:ascii="仿宋_GB2312" w:hAnsi="宋体" w:eastAsia="仿宋_GB2312"/>
                <w:color w:val="auto"/>
                <w:sz w:val="24"/>
                <w:szCs w:val="24"/>
                <w:highlight w:val="none"/>
                <w:lang w:val="en-US" w:eastAsia="zh-CN"/>
              </w:rPr>
              <w:t xml:space="preserve"> </w:t>
            </w:r>
          </w:p>
        </w:tc>
      </w:tr>
      <w:tr w14:paraId="4E91C5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75" w:type="dxa"/>
            <w:vMerge w:val="continue"/>
            <w:vAlign w:val="center"/>
          </w:tcPr>
          <w:p w14:paraId="118CE6AB">
            <w:pPr>
              <w:jc w:val="center"/>
              <w:rPr>
                <w:rFonts w:ascii="仿宋_GB2312" w:hAnsi="宋体" w:eastAsia="仿宋_GB2312"/>
                <w:b/>
                <w:color w:val="auto"/>
                <w:sz w:val="24"/>
                <w:szCs w:val="24"/>
                <w:highlight w:val="none"/>
              </w:rPr>
            </w:pPr>
          </w:p>
        </w:tc>
        <w:tc>
          <w:tcPr>
            <w:tcW w:w="1636" w:type="dxa"/>
            <w:vAlign w:val="center"/>
          </w:tcPr>
          <w:p w14:paraId="1A28C3E9">
            <w:pPr>
              <w:adjustRightInd w:val="0"/>
              <w:snapToGrid w:val="0"/>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法定代表人</w:t>
            </w:r>
          </w:p>
        </w:tc>
        <w:tc>
          <w:tcPr>
            <w:tcW w:w="2318" w:type="dxa"/>
            <w:vAlign w:val="center"/>
          </w:tcPr>
          <w:p w14:paraId="17A6FA0F">
            <w:pPr>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lang w:val="en-US" w:eastAsia="zh-CN"/>
              </w:rPr>
              <w:t>黄定华</w:t>
            </w:r>
          </w:p>
        </w:tc>
        <w:tc>
          <w:tcPr>
            <w:tcW w:w="1417" w:type="dxa"/>
            <w:vAlign w:val="center"/>
          </w:tcPr>
          <w:p w14:paraId="76BD8BF5">
            <w:pPr>
              <w:adjustRightInd w:val="0"/>
              <w:snapToGrid w:val="0"/>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单位性质</w:t>
            </w:r>
          </w:p>
        </w:tc>
        <w:tc>
          <w:tcPr>
            <w:tcW w:w="2077" w:type="dxa"/>
            <w:vAlign w:val="center"/>
          </w:tcPr>
          <w:p w14:paraId="64995325">
            <w:pPr>
              <w:jc w:val="center"/>
              <w:rPr>
                <w:rFonts w:hint="eastAsia" w:ascii="仿宋_GB2312" w:hAnsi="宋体" w:eastAsia="仿宋_GB2312"/>
                <w:color w:val="auto"/>
                <w:sz w:val="24"/>
                <w:szCs w:val="24"/>
                <w:highlight w:val="none"/>
                <w:lang w:val="en-US" w:eastAsia="zh-CN"/>
              </w:rPr>
            </w:pPr>
            <w:r>
              <w:rPr>
                <w:rFonts w:hint="eastAsia" w:ascii="仿宋_GB2312" w:hAnsi="宋体" w:eastAsia="仿宋_GB2312"/>
                <w:color w:val="auto"/>
                <w:sz w:val="24"/>
                <w:szCs w:val="24"/>
                <w:highlight w:val="none"/>
                <w:lang w:val="en-US" w:eastAsia="zh-CN"/>
              </w:rPr>
              <w:t>国有</w:t>
            </w:r>
          </w:p>
        </w:tc>
      </w:tr>
      <w:tr w14:paraId="33D6A7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75" w:type="dxa"/>
            <w:vMerge w:val="continue"/>
            <w:vAlign w:val="center"/>
          </w:tcPr>
          <w:p w14:paraId="41455246">
            <w:pPr>
              <w:jc w:val="center"/>
              <w:rPr>
                <w:rFonts w:ascii="仿宋_GB2312" w:hAnsi="宋体" w:eastAsia="仿宋_GB2312"/>
                <w:b/>
                <w:color w:val="auto"/>
                <w:sz w:val="24"/>
                <w:szCs w:val="24"/>
                <w:highlight w:val="none"/>
              </w:rPr>
            </w:pPr>
          </w:p>
        </w:tc>
        <w:tc>
          <w:tcPr>
            <w:tcW w:w="1636" w:type="dxa"/>
            <w:vAlign w:val="center"/>
          </w:tcPr>
          <w:p w14:paraId="51A3101B">
            <w:pPr>
              <w:adjustRightInd w:val="0"/>
              <w:snapToGrid w:val="0"/>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项目负责人</w:t>
            </w:r>
          </w:p>
        </w:tc>
        <w:tc>
          <w:tcPr>
            <w:tcW w:w="2318" w:type="dxa"/>
            <w:shd w:val="clear" w:color="auto" w:fill="auto"/>
            <w:vAlign w:val="center"/>
          </w:tcPr>
          <w:p w14:paraId="054BDD81">
            <w:pPr>
              <w:jc w:val="center"/>
              <w:rPr>
                <w:rFonts w:hint="eastAsia" w:ascii="仿宋_GB2312" w:hAnsi="宋体" w:eastAsia="仿宋_GB2312" w:cstheme="minorBidi"/>
                <w:color w:val="auto"/>
                <w:kern w:val="2"/>
                <w:sz w:val="24"/>
                <w:szCs w:val="24"/>
                <w:highlight w:val="none"/>
                <w:lang w:val="en-US" w:eastAsia="zh-CN" w:bidi="ar-SA"/>
              </w:rPr>
            </w:pPr>
            <w:r>
              <w:rPr>
                <w:rFonts w:hint="eastAsia" w:ascii="仿宋_GB2312" w:hAnsi="宋体" w:eastAsia="仿宋_GB2312"/>
                <w:color w:val="auto"/>
                <w:sz w:val="24"/>
                <w:szCs w:val="24"/>
                <w:highlight w:val="none"/>
                <w:lang w:val="en-US" w:eastAsia="zh-CN"/>
              </w:rPr>
              <w:t>鞠旭光</w:t>
            </w:r>
          </w:p>
        </w:tc>
        <w:tc>
          <w:tcPr>
            <w:tcW w:w="1417" w:type="dxa"/>
            <w:vAlign w:val="center"/>
          </w:tcPr>
          <w:p w14:paraId="639FF061">
            <w:pPr>
              <w:adjustRightInd w:val="0"/>
              <w:snapToGrid w:val="0"/>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联系电话</w:t>
            </w:r>
          </w:p>
        </w:tc>
        <w:tc>
          <w:tcPr>
            <w:tcW w:w="2077" w:type="dxa"/>
            <w:shd w:val="clear" w:color="auto" w:fill="auto"/>
            <w:vAlign w:val="center"/>
          </w:tcPr>
          <w:p w14:paraId="5EB21271">
            <w:pPr>
              <w:jc w:val="center"/>
              <w:rPr>
                <w:rFonts w:hint="default" w:ascii="仿宋_GB2312" w:hAnsi="宋体" w:eastAsia="仿宋_GB2312" w:cstheme="minorBidi"/>
                <w:color w:val="auto"/>
                <w:kern w:val="2"/>
                <w:sz w:val="24"/>
                <w:szCs w:val="24"/>
                <w:highlight w:val="none"/>
                <w:lang w:val="en-US" w:eastAsia="zh-CN" w:bidi="ar-SA"/>
              </w:rPr>
            </w:pPr>
            <w:r>
              <w:rPr>
                <w:rFonts w:hint="eastAsia" w:ascii="仿宋_GB2312" w:hAnsi="宋体" w:eastAsia="仿宋_GB2312"/>
                <w:color w:val="auto"/>
                <w:sz w:val="24"/>
                <w:szCs w:val="24"/>
                <w:highlight w:val="none"/>
                <w:lang w:val="en-US" w:eastAsia="zh-CN"/>
              </w:rPr>
              <w:t>18653197825</w:t>
            </w:r>
          </w:p>
        </w:tc>
      </w:tr>
      <w:tr w14:paraId="155ED6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75" w:type="dxa"/>
            <w:vMerge w:val="continue"/>
            <w:vAlign w:val="center"/>
          </w:tcPr>
          <w:p w14:paraId="2B18A1C1">
            <w:pPr>
              <w:jc w:val="center"/>
              <w:rPr>
                <w:rFonts w:ascii="仿宋_GB2312" w:hAnsi="宋体" w:eastAsia="仿宋_GB2312"/>
                <w:b/>
                <w:color w:val="auto"/>
                <w:sz w:val="24"/>
                <w:szCs w:val="24"/>
                <w:highlight w:val="none"/>
              </w:rPr>
            </w:pPr>
          </w:p>
        </w:tc>
        <w:tc>
          <w:tcPr>
            <w:tcW w:w="1636" w:type="dxa"/>
            <w:vAlign w:val="center"/>
          </w:tcPr>
          <w:p w14:paraId="1D0D4096">
            <w:pPr>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项目受托人</w:t>
            </w:r>
          </w:p>
        </w:tc>
        <w:tc>
          <w:tcPr>
            <w:tcW w:w="2318" w:type="dxa"/>
            <w:shd w:val="clear" w:color="auto" w:fill="auto"/>
            <w:vAlign w:val="center"/>
          </w:tcPr>
          <w:p w14:paraId="5FF16C7A">
            <w:pPr>
              <w:jc w:val="center"/>
              <w:rPr>
                <w:rFonts w:hint="default" w:ascii="仿宋_GB2312" w:hAnsi="宋体" w:eastAsia="仿宋_GB2312" w:cstheme="minorBidi"/>
                <w:color w:val="auto"/>
                <w:kern w:val="2"/>
                <w:sz w:val="24"/>
                <w:szCs w:val="24"/>
                <w:highlight w:val="none"/>
                <w:lang w:val="en-US" w:eastAsia="zh-CN" w:bidi="ar-SA"/>
              </w:rPr>
            </w:pPr>
            <w:r>
              <w:rPr>
                <w:rFonts w:hint="eastAsia" w:ascii="仿宋_GB2312" w:hAnsi="宋体" w:eastAsia="仿宋_GB2312"/>
                <w:color w:val="auto"/>
                <w:sz w:val="24"/>
                <w:szCs w:val="24"/>
                <w:highlight w:val="none"/>
                <w:lang w:val="en-US" w:eastAsia="zh-CN"/>
              </w:rPr>
              <w:t>鞠旭光</w:t>
            </w:r>
          </w:p>
        </w:tc>
        <w:tc>
          <w:tcPr>
            <w:tcW w:w="1417" w:type="dxa"/>
            <w:vAlign w:val="center"/>
          </w:tcPr>
          <w:p w14:paraId="7D84B831">
            <w:pPr>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联系电话</w:t>
            </w:r>
          </w:p>
        </w:tc>
        <w:tc>
          <w:tcPr>
            <w:tcW w:w="2077" w:type="dxa"/>
            <w:shd w:val="clear" w:color="auto" w:fill="auto"/>
            <w:vAlign w:val="center"/>
          </w:tcPr>
          <w:p w14:paraId="31447EAE">
            <w:pPr>
              <w:jc w:val="center"/>
              <w:rPr>
                <w:rFonts w:hint="default" w:ascii="仿宋_GB2312" w:hAnsi="宋体" w:eastAsia="仿宋_GB2312" w:cstheme="minorBidi"/>
                <w:color w:val="auto"/>
                <w:kern w:val="2"/>
                <w:sz w:val="24"/>
                <w:szCs w:val="24"/>
                <w:highlight w:val="none"/>
                <w:lang w:val="en-US" w:eastAsia="zh-CN" w:bidi="ar-SA"/>
              </w:rPr>
            </w:pPr>
            <w:r>
              <w:rPr>
                <w:rFonts w:hint="eastAsia" w:ascii="仿宋_GB2312" w:hAnsi="宋体" w:eastAsia="仿宋_GB2312"/>
                <w:color w:val="auto"/>
                <w:sz w:val="24"/>
                <w:szCs w:val="24"/>
                <w:highlight w:val="none"/>
                <w:lang w:val="en-US" w:eastAsia="zh-CN"/>
              </w:rPr>
              <w:t>18653197825</w:t>
            </w:r>
          </w:p>
        </w:tc>
      </w:tr>
      <w:tr w14:paraId="4BC9A3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875" w:type="dxa"/>
            <w:vMerge w:val="restart"/>
            <w:vAlign w:val="center"/>
          </w:tcPr>
          <w:p w14:paraId="104F9E61">
            <w:pPr>
              <w:adjustRightInd w:val="0"/>
              <w:snapToGrid w:val="0"/>
              <w:jc w:val="center"/>
              <w:rPr>
                <w:rFonts w:ascii="仿宋_GB2312" w:hAnsi="宋体" w:eastAsia="仿宋_GB2312"/>
                <w:b/>
                <w:color w:val="auto"/>
                <w:sz w:val="24"/>
                <w:szCs w:val="24"/>
                <w:highlight w:val="none"/>
              </w:rPr>
            </w:pPr>
            <w:r>
              <w:rPr>
                <w:rFonts w:hint="eastAsia" w:ascii="仿宋_GB2312" w:hAnsi="宋体" w:eastAsia="仿宋_GB2312"/>
                <w:b/>
                <w:color w:val="auto"/>
                <w:sz w:val="24"/>
                <w:szCs w:val="24"/>
                <w:highlight w:val="none"/>
              </w:rPr>
              <w:t>出租标的</w:t>
            </w:r>
          </w:p>
          <w:p w14:paraId="31011999">
            <w:pPr>
              <w:jc w:val="center"/>
              <w:rPr>
                <w:rFonts w:ascii="仿宋_GB2312" w:hAnsi="宋体" w:eastAsia="仿宋_GB2312"/>
                <w:b/>
                <w:color w:val="auto"/>
                <w:sz w:val="24"/>
                <w:szCs w:val="24"/>
                <w:highlight w:val="none"/>
              </w:rPr>
            </w:pPr>
            <w:r>
              <w:rPr>
                <w:rFonts w:hint="eastAsia" w:ascii="仿宋_GB2312" w:hAnsi="宋体" w:eastAsia="仿宋_GB2312"/>
                <w:b/>
                <w:color w:val="auto"/>
                <w:sz w:val="24"/>
                <w:szCs w:val="24"/>
                <w:highlight w:val="none"/>
              </w:rPr>
              <w:t>基本情况</w:t>
            </w:r>
          </w:p>
        </w:tc>
        <w:tc>
          <w:tcPr>
            <w:tcW w:w="1636" w:type="dxa"/>
            <w:vAlign w:val="center"/>
          </w:tcPr>
          <w:p w14:paraId="107A6DEC">
            <w:pPr>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标的类型</w:t>
            </w:r>
          </w:p>
        </w:tc>
        <w:tc>
          <w:tcPr>
            <w:tcW w:w="5812" w:type="dxa"/>
            <w:gridSpan w:val="3"/>
            <w:vAlign w:val="center"/>
          </w:tcPr>
          <w:p w14:paraId="14E86383">
            <w:pPr>
              <w:rPr>
                <w:rFonts w:ascii="仿宋_GB2312" w:hAnsi="宋体" w:eastAsia="仿宋_GB2312"/>
                <w:color w:val="auto"/>
                <w:sz w:val="24"/>
                <w:szCs w:val="24"/>
                <w:highlight w:val="none"/>
              </w:rPr>
            </w:pPr>
            <w:r>
              <w:rPr>
                <w:rFonts w:hint="eastAsia" w:ascii="仿宋_GB2312" w:hAnsi="宋体" w:eastAsia="仿宋_GB2312" w:cs="宋体"/>
                <w:color w:val="auto"/>
                <w:kern w:val="0"/>
                <w:sz w:val="24"/>
                <w:szCs w:val="24"/>
                <w:highlight w:val="none"/>
                <w:lang w:eastAsia="zh-CN"/>
              </w:rPr>
              <w:t>□</w:t>
            </w:r>
            <w:r>
              <w:rPr>
                <w:rFonts w:hint="eastAsia" w:ascii="仿宋_GB2312" w:hAnsi="宋体" w:eastAsia="仿宋_GB2312" w:cs="宋体"/>
                <w:color w:val="auto"/>
                <w:kern w:val="0"/>
                <w:sz w:val="24"/>
                <w:szCs w:val="24"/>
                <w:highlight w:val="none"/>
              </w:rPr>
              <w:t xml:space="preserve">房产  </w:t>
            </w:r>
            <w:r>
              <w:rPr>
                <w:rFonts w:hint="eastAsia" w:ascii="仿宋_GB2312" w:hAnsi="宋体" w:eastAsia="仿宋_GB2312" w:cs="宋体"/>
                <w:color w:val="auto"/>
                <w:kern w:val="0"/>
                <w:sz w:val="24"/>
                <w:szCs w:val="24"/>
                <w:highlight w:val="none"/>
                <w:lang w:eastAsia="zh-CN"/>
              </w:rPr>
              <w:t>☑</w:t>
            </w:r>
            <w:r>
              <w:rPr>
                <w:rFonts w:hint="eastAsia" w:ascii="仿宋_GB2312" w:hAnsi="宋体" w:eastAsia="仿宋_GB2312" w:cs="宋体"/>
                <w:color w:val="auto"/>
                <w:kern w:val="0"/>
                <w:sz w:val="24"/>
                <w:szCs w:val="24"/>
                <w:highlight w:val="none"/>
              </w:rPr>
              <w:t>土地</w:t>
            </w:r>
            <w:r>
              <w:rPr>
                <w:rFonts w:hint="eastAsia" w:ascii="仿宋_GB2312" w:hAnsi="宋体" w:eastAsia="仿宋_GB2312"/>
                <w:color w:val="auto"/>
                <w:sz w:val="24"/>
                <w:szCs w:val="24"/>
                <w:highlight w:val="none"/>
              </w:rPr>
              <w:t xml:space="preserve">  </w:t>
            </w:r>
            <w:r>
              <w:rPr>
                <w:rFonts w:hint="eastAsia" w:ascii="仿宋_GB2312" w:hAnsi="宋体" w:eastAsia="仿宋_GB2312" w:cs="宋体"/>
                <w:color w:val="auto"/>
                <w:kern w:val="0"/>
                <w:sz w:val="24"/>
                <w:szCs w:val="24"/>
                <w:highlight w:val="none"/>
              </w:rPr>
              <w:t>□机器  □设备</w:t>
            </w:r>
            <w:r>
              <w:rPr>
                <w:rFonts w:hint="eastAsia" w:ascii="仿宋_GB2312" w:hAnsi="宋体" w:eastAsia="仿宋_GB2312"/>
                <w:color w:val="auto"/>
                <w:sz w:val="24"/>
                <w:szCs w:val="24"/>
                <w:highlight w:val="none"/>
              </w:rPr>
              <w:t xml:space="preserve"> </w:t>
            </w:r>
            <w:r>
              <w:rPr>
                <w:rFonts w:hint="eastAsia" w:ascii="仿宋_GB2312" w:hAnsi="宋体" w:eastAsia="仿宋_GB2312" w:cs="宋体"/>
                <w:color w:val="auto"/>
                <w:kern w:val="0"/>
                <w:sz w:val="24"/>
                <w:szCs w:val="24"/>
                <w:highlight w:val="none"/>
              </w:rPr>
              <w:t>□其他</w:t>
            </w:r>
            <w:r>
              <w:rPr>
                <w:rFonts w:hint="eastAsia" w:ascii="仿宋_GB2312" w:hAnsi="宋体" w:eastAsia="仿宋_GB2312" w:cs="宋体"/>
                <w:color w:val="auto"/>
                <w:kern w:val="0"/>
                <w:sz w:val="24"/>
                <w:szCs w:val="24"/>
                <w:highlight w:val="none"/>
                <w:u w:val="single"/>
              </w:rPr>
              <w:t xml:space="preserve">           </w:t>
            </w:r>
          </w:p>
        </w:tc>
      </w:tr>
      <w:tr w14:paraId="5C30E0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exact"/>
          <w:jc w:val="center"/>
        </w:trPr>
        <w:tc>
          <w:tcPr>
            <w:tcW w:w="875" w:type="dxa"/>
            <w:vMerge w:val="continue"/>
            <w:vAlign w:val="center"/>
          </w:tcPr>
          <w:p w14:paraId="59B570F7">
            <w:pPr>
              <w:jc w:val="center"/>
              <w:rPr>
                <w:rFonts w:ascii="仿宋_GB2312" w:hAnsi="宋体" w:eastAsia="仿宋_GB2312"/>
                <w:b/>
                <w:color w:val="auto"/>
                <w:sz w:val="24"/>
                <w:szCs w:val="24"/>
                <w:highlight w:val="none"/>
              </w:rPr>
            </w:pPr>
          </w:p>
        </w:tc>
        <w:tc>
          <w:tcPr>
            <w:tcW w:w="1636" w:type="dxa"/>
            <w:vAlign w:val="center"/>
          </w:tcPr>
          <w:p w14:paraId="2ABE4DE4">
            <w:pPr>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标 的 量</w:t>
            </w:r>
          </w:p>
        </w:tc>
        <w:tc>
          <w:tcPr>
            <w:tcW w:w="5812" w:type="dxa"/>
            <w:gridSpan w:val="3"/>
            <w:vAlign w:val="center"/>
          </w:tcPr>
          <w:p w14:paraId="31D5F542">
            <w:pPr>
              <w:ind w:firstLine="360" w:firstLineChars="150"/>
              <w:rPr>
                <w:rFonts w:ascii="仿宋_GB2312" w:hAnsi="宋体" w:eastAsia="仿宋_GB2312"/>
                <w:color w:val="auto"/>
                <w:sz w:val="24"/>
                <w:szCs w:val="24"/>
                <w:highlight w:val="none"/>
              </w:rPr>
            </w:pPr>
            <w:r>
              <w:rPr>
                <w:rFonts w:hint="eastAsia" w:ascii="仿宋_GB2312" w:hAnsi="宋体" w:eastAsia="仿宋_GB2312" w:cs="宋体"/>
                <w:color w:val="auto"/>
                <w:kern w:val="0"/>
                <w:sz w:val="24"/>
                <w:szCs w:val="24"/>
                <w:highlight w:val="none"/>
                <w:lang w:eastAsia="zh-CN"/>
              </w:rPr>
              <w:t>☑</w:t>
            </w:r>
            <w:r>
              <w:rPr>
                <w:rFonts w:hint="eastAsia" w:ascii="仿宋_GB2312" w:hAnsi="宋体" w:eastAsia="仿宋_GB2312"/>
                <w:color w:val="auto"/>
                <w:sz w:val="24"/>
                <w:szCs w:val="24"/>
                <w:highlight w:val="none"/>
                <w:u w:val="single"/>
                <w:lang w:val="en-US" w:eastAsia="zh-CN"/>
              </w:rPr>
              <w:t>3402</w:t>
            </w:r>
            <w:r>
              <w:rPr>
                <w:rFonts w:hint="eastAsia" w:ascii="宋体" w:hAnsi="宋体" w:cs="宋体"/>
                <w:color w:val="auto"/>
                <w:sz w:val="24"/>
                <w:szCs w:val="24"/>
                <w:highlight w:val="none"/>
                <w:shd w:val="clear" w:color="auto" w:fill="FFFFFF"/>
              </w:rPr>
              <w:t>㎡</w:t>
            </w:r>
            <w:r>
              <w:rPr>
                <w:rFonts w:hint="eastAsia" w:ascii="仿宋_GB2312" w:hAnsi="宋体" w:eastAsia="仿宋_GB2312"/>
                <w:color w:val="auto"/>
                <w:sz w:val="24"/>
                <w:szCs w:val="24"/>
                <w:highlight w:val="none"/>
              </w:rPr>
              <w:t xml:space="preserve">    </w:t>
            </w:r>
            <w:r>
              <w:rPr>
                <w:rFonts w:hint="eastAsia" w:ascii="仿宋_GB2312" w:hAnsi="宋体" w:eastAsia="仿宋_GB2312" w:cs="宋体"/>
                <w:color w:val="auto"/>
                <w:kern w:val="0"/>
                <w:sz w:val="24"/>
                <w:szCs w:val="24"/>
                <w:highlight w:val="none"/>
              </w:rPr>
              <w:t>□其他</w:t>
            </w:r>
            <w:r>
              <w:rPr>
                <w:rFonts w:hint="eastAsia" w:ascii="仿宋_GB2312" w:hAnsi="宋体" w:eastAsia="仿宋_GB2312" w:cs="宋体"/>
                <w:color w:val="auto"/>
                <w:kern w:val="0"/>
                <w:sz w:val="24"/>
                <w:szCs w:val="24"/>
                <w:highlight w:val="none"/>
                <w:u w:val="single"/>
              </w:rPr>
              <w:t xml:space="preserve">           </w:t>
            </w:r>
          </w:p>
        </w:tc>
      </w:tr>
      <w:tr w14:paraId="7461FB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875" w:type="dxa"/>
            <w:vMerge w:val="continue"/>
            <w:vAlign w:val="center"/>
          </w:tcPr>
          <w:p w14:paraId="736D61E2">
            <w:pPr>
              <w:jc w:val="center"/>
              <w:rPr>
                <w:rFonts w:ascii="仿宋_GB2312" w:hAnsi="宋体" w:eastAsia="仿宋_GB2312"/>
                <w:b/>
                <w:color w:val="auto"/>
                <w:sz w:val="24"/>
                <w:szCs w:val="24"/>
                <w:highlight w:val="none"/>
              </w:rPr>
            </w:pPr>
          </w:p>
        </w:tc>
        <w:tc>
          <w:tcPr>
            <w:tcW w:w="1636" w:type="dxa"/>
            <w:vAlign w:val="center"/>
          </w:tcPr>
          <w:p w14:paraId="33CA070A">
            <w:pPr>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标的地址</w:t>
            </w:r>
          </w:p>
        </w:tc>
        <w:tc>
          <w:tcPr>
            <w:tcW w:w="5812" w:type="dxa"/>
            <w:gridSpan w:val="3"/>
            <w:vAlign w:val="center"/>
          </w:tcPr>
          <w:p w14:paraId="0DAE5289">
            <w:pPr>
              <w:rPr>
                <w:rFonts w:ascii="仿宋_GB2312" w:hAnsi="宋体" w:eastAsia="仿宋_GB2312"/>
                <w:color w:val="auto"/>
                <w:sz w:val="24"/>
                <w:szCs w:val="24"/>
                <w:highlight w:val="none"/>
                <w:u w:val="single"/>
              </w:rPr>
            </w:pPr>
            <w:r>
              <w:rPr>
                <w:rFonts w:hint="eastAsia" w:ascii="仿宋_GB2312" w:hAnsi="宋体" w:eastAsia="仿宋_GB2312"/>
                <w:color w:val="auto"/>
                <w:sz w:val="24"/>
                <w:szCs w:val="24"/>
                <w:highlight w:val="none"/>
                <w:u w:val="none"/>
              </w:rPr>
              <w:t>济南市章丘区埠村街道办事处s244线26800号济南野生动物世界园内。</w:t>
            </w:r>
          </w:p>
        </w:tc>
      </w:tr>
      <w:tr w14:paraId="7F028C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875" w:type="dxa"/>
            <w:vMerge w:val="continue"/>
            <w:vAlign w:val="center"/>
          </w:tcPr>
          <w:p w14:paraId="284C2153">
            <w:pPr>
              <w:jc w:val="center"/>
              <w:rPr>
                <w:rFonts w:ascii="仿宋_GB2312" w:hAnsi="宋体" w:eastAsia="仿宋_GB2312"/>
                <w:b/>
                <w:color w:val="auto"/>
                <w:sz w:val="24"/>
                <w:szCs w:val="24"/>
                <w:highlight w:val="none"/>
              </w:rPr>
            </w:pPr>
          </w:p>
        </w:tc>
        <w:tc>
          <w:tcPr>
            <w:tcW w:w="1636" w:type="dxa"/>
            <w:vAlign w:val="center"/>
          </w:tcPr>
          <w:p w14:paraId="6DEB6805">
            <w:pPr>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标的现状</w:t>
            </w:r>
          </w:p>
        </w:tc>
        <w:tc>
          <w:tcPr>
            <w:tcW w:w="5812" w:type="dxa"/>
            <w:gridSpan w:val="3"/>
            <w:vAlign w:val="center"/>
          </w:tcPr>
          <w:p w14:paraId="026C1DEB">
            <w:pPr>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lang w:eastAsia="zh-CN"/>
              </w:rPr>
              <w:t>☑</w:t>
            </w:r>
            <w:r>
              <w:rPr>
                <w:rFonts w:hint="eastAsia" w:ascii="仿宋_GB2312" w:hAnsi="宋体" w:eastAsia="仿宋_GB2312" w:cs="宋体"/>
                <w:color w:val="auto"/>
                <w:kern w:val="0"/>
                <w:sz w:val="24"/>
                <w:szCs w:val="24"/>
                <w:highlight w:val="none"/>
              </w:rPr>
              <w:t>闲置</w:t>
            </w:r>
          </w:p>
          <w:p w14:paraId="51E29627">
            <w:pPr>
              <w:rPr>
                <w:rFonts w:ascii="仿宋_GB2312" w:hAnsi="宋体" w:eastAsia="仿宋_GB2312"/>
                <w:color w:val="auto"/>
                <w:sz w:val="24"/>
                <w:szCs w:val="24"/>
                <w:highlight w:val="none"/>
                <w:u w:val="single"/>
              </w:rPr>
            </w:pPr>
            <w:r>
              <w:rPr>
                <w:rFonts w:hint="eastAsia" w:ascii="仿宋_GB2312" w:hAnsi="宋体" w:eastAsia="仿宋_GB2312" w:cs="宋体"/>
                <w:color w:val="auto"/>
                <w:kern w:val="0"/>
                <w:sz w:val="24"/>
                <w:szCs w:val="24"/>
                <w:highlight w:val="none"/>
              </w:rPr>
              <w:t>□在用</w:t>
            </w:r>
            <w:r>
              <w:rPr>
                <w:rFonts w:hint="eastAsia" w:ascii="仿宋_GB2312" w:hAnsi="宋体" w:eastAsia="仿宋_GB2312" w:cs="宋体"/>
                <w:color w:val="auto"/>
                <w:kern w:val="0"/>
                <w:sz w:val="24"/>
                <w:szCs w:val="24"/>
                <w:highlight w:val="none"/>
                <w:u w:val="single"/>
              </w:rPr>
              <w:t xml:space="preserve">                       </w:t>
            </w:r>
          </w:p>
        </w:tc>
      </w:tr>
      <w:tr w14:paraId="491918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2" w:hRule="exact"/>
          <w:jc w:val="center"/>
        </w:trPr>
        <w:tc>
          <w:tcPr>
            <w:tcW w:w="875" w:type="dxa"/>
            <w:vMerge w:val="continue"/>
            <w:vAlign w:val="center"/>
          </w:tcPr>
          <w:p w14:paraId="7398BC14">
            <w:pPr>
              <w:jc w:val="center"/>
              <w:rPr>
                <w:rFonts w:ascii="仿宋_GB2312" w:hAnsi="宋体" w:eastAsia="仿宋_GB2312"/>
                <w:b/>
                <w:color w:val="auto"/>
                <w:sz w:val="24"/>
                <w:szCs w:val="24"/>
                <w:highlight w:val="none"/>
              </w:rPr>
            </w:pPr>
          </w:p>
        </w:tc>
        <w:tc>
          <w:tcPr>
            <w:tcW w:w="1636" w:type="dxa"/>
            <w:vAlign w:val="center"/>
          </w:tcPr>
          <w:p w14:paraId="2BC952E0">
            <w:pPr>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标的瑕疵</w:t>
            </w:r>
          </w:p>
        </w:tc>
        <w:tc>
          <w:tcPr>
            <w:tcW w:w="5812" w:type="dxa"/>
            <w:gridSpan w:val="3"/>
            <w:vAlign w:val="center"/>
          </w:tcPr>
          <w:p w14:paraId="657A26B5">
            <w:pPr>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lang w:eastAsia="zh-CN"/>
              </w:rPr>
              <w:t>☑</w:t>
            </w:r>
            <w:r>
              <w:rPr>
                <w:rFonts w:hint="eastAsia" w:ascii="仿宋_GB2312" w:hAnsi="宋体" w:eastAsia="仿宋_GB2312" w:cs="宋体"/>
                <w:color w:val="auto"/>
                <w:kern w:val="0"/>
                <w:sz w:val="24"/>
                <w:szCs w:val="24"/>
                <w:highlight w:val="none"/>
              </w:rPr>
              <w:t>无瑕疵</w:t>
            </w:r>
          </w:p>
          <w:p w14:paraId="458482CA">
            <w:pPr>
              <w:rPr>
                <w:rFonts w:ascii="仿宋_GB2312" w:hAnsi="宋体" w:eastAsia="仿宋_GB2312"/>
                <w:color w:val="auto"/>
                <w:sz w:val="24"/>
                <w:szCs w:val="24"/>
                <w:highlight w:val="none"/>
              </w:rPr>
            </w:pPr>
            <w:r>
              <w:rPr>
                <w:rFonts w:hint="eastAsia" w:ascii="仿宋_GB2312" w:hAnsi="宋体" w:eastAsia="仿宋_GB2312" w:cs="宋体"/>
                <w:color w:val="auto"/>
                <w:kern w:val="0"/>
                <w:sz w:val="24"/>
                <w:szCs w:val="24"/>
                <w:highlight w:val="none"/>
              </w:rPr>
              <w:t>□存在瑕疵</w:t>
            </w:r>
            <w:r>
              <w:rPr>
                <w:rFonts w:hint="eastAsia" w:ascii="仿宋_GB2312" w:hAnsi="宋体" w:eastAsia="仿宋_GB2312" w:cs="宋体"/>
                <w:color w:val="auto"/>
                <w:kern w:val="0"/>
                <w:sz w:val="24"/>
                <w:szCs w:val="24"/>
                <w:highlight w:val="none"/>
                <w:u w:val="single"/>
              </w:rPr>
              <w:t xml:space="preserve">     </w:t>
            </w:r>
            <w:r>
              <w:rPr>
                <w:rFonts w:hint="eastAsia" w:ascii="仿宋_GB2312" w:hAnsi="宋体" w:eastAsia="仿宋_GB2312" w:cs="宋体"/>
                <w:color w:val="auto"/>
                <w:kern w:val="0"/>
                <w:sz w:val="24"/>
                <w:szCs w:val="24"/>
                <w:highlight w:val="none"/>
                <w:u w:val="single" w:color="000000" w:themeColor="text1"/>
              </w:rPr>
              <w:t>（标的物瑕疵）</w:t>
            </w:r>
            <w:r>
              <w:rPr>
                <w:rFonts w:hint="eastAsia" w:ascii="仿宋_GB2312" w:hAnsi="宋体" w:eastAsia="仿宋_GB2312" w:cs="宋体"/>
                <w:color w:val="auto"/>
                <w:kern w:val="0"/>
                <w:sz w:val="24"/>
                <w:szCs w:val="24"/>
                <w:highlight w:val="none"/>
                <w:u w:val="single"/>
              </w:rPr>
              <w:t xml:space="preserve">            </w:t>
            </w:r>
          </w:p>
        </w:tc>
      </w:tr>
      <w:tr w14:paraId="335DED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5" w:hRule="exact"/>
          <w:jc w:val="center"/>
        </w:trPr>
        <w:tc>
          <w:tcPr>
            <w:tcW w:w="875" w:type="dxa"/>
            <w:vMerge w:val="continue"/>
            <w:vAlign w:val="center"/>
          </w:tcPr>
          <w:p w14:paraId="487836B7">
            <w:pPr>
              <w:jc w:val="center"/>
              <w:rPr>
                <w:rFonts w:ascii="仿宋_GB2312" w:hAnsi="宋体" w:eastAsia="仿宋_GB2312"/>
                <w:b/>
                <w:color w:val="auto"/>
                <w:sz w:val="24"/>
                <w:szCs w:val="24"/>
                <w:highlight w:val="none"/>
              </w:rPr>
            </w:pPr>
          </w:p>
        </w:tc>
        <w:tc>
          <w:tcPr>
            <w:tcW w:w="1636" w:type="dxa"/>
            <w:vAlign w:val="center"/>
          </w:tcPr>
          <w:p w14:paraId="564F810B">
            <w:pPr>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其他披露事项</w:t>
            </w:r>
          </w:p>
        </w:tc>
        <w:tc>
          <w:tcPr>
            <w:tcW w:w="5812" w:type="dxa"/>
            <w:gridSpan w:val="3"/>
            <w:vAlign w:val="center"/>
          </w:tcPr>
          <w:p w14:paraId="07D9F191">
            <w:pPr>
              <w:ind w:firstLine="480" w:firstLineChars="200"/>
              <w:jc w:val="left"/>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lang w:val="en-US" w:eastAsia="zh-CN"/>
              </w:rPr>
              <w:t>未办理产权登记，产权清晰有租赁权</w:t>
            </w:r>
          </w:p>
        </w:tc>
      </w:tr>
      <w:tr w14:paraId="68B3CC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75" w:type="dxa"/>
            <w:vMerge w:val="restart"/>
            <w:vAlign w:val="center"/>
          </w:tcPr>
          <w:p w14:paraId="2E81181D">
            <w:pPr>
              <w:jc w:val="center"/>
              <w:rPr>
                <w:rFonts w:ascii="仿宋_GB2312" w:hAnsi="宋体" w:eastAsia="仿宋_GB2312" w:cs="华文仿宋"/>
                <w:b/>
                <w:color w:val="auto"/>
                <w:sz w:val="24"/>
                <w:szCs w:val="24"/>
                <w:highlight w:val="none"/>
              </w:rPr>
            </w:pPr>
            <w:r>
              <w:rPr>
                <w:rFonts w:hint="eastAsia" w:ascii="仿宋_GB2312" w:hAnsi="宋体" w:eastAsia="仿宋_GB2312" w:cs="华文仿宋"/>
                <w:b/>
                <w:color w:val="auto"/>
                <w:sz w:val="24"/>
                <w:szCs w:val="24"/>
                <w:highlight w:val="none"/>
              </w:rPr>
              <w:t>决策及价格核准</w:t>
            </w:r>
          </w:p>
        </w:tc>
        <w:tc>
          <w:tcPr>
            <w:tcW w:w="1636" w:type="dxa"/>
            <w:vAlign w:val="center"/>
          </w:tcPr>
          <w:p w14:paraId="4769AE20">
            <w:pPr>
              <w:jc w:val="center"/>
              <w:rPr>
                <w:rFonts w:ascii="仿宋_GB2312" w:hAnsi="宋体" w:eastAsia="仿宋_GB2312"/>
                <w:color w:val="auto"/>
                <w:sz w:val="24"/>
                <w:szCs w:val="24"/>
                <w:highlight w:val="none"/>
              </w:rPr>
            </w:pPr>
            <w:r>
              <w:rPr>
                <w:rFonts w:hint="eastAsia" w:ascii="仿宋_GB2312" w:hAnsi="宋体" w:eastAsia="仿宋_GB2312" w:cs="华文仿宋"/>
                <w:color w:val="auto"/>
                <w:sz w:val="24"/>
                <w:szCs w:val="24"/>
                <w:highlight w:val="none"/>
              </w:rPr>
              <w:t>内部决策情况</w:t>
            </w:r>
          </w:p>
        </w:tc>
        <w:tc>
          <w:tcPr>
            <w:tcW w:w="5812" w:type="dxa"/>
            <w:gridSpan w:val="3"/>
            <w:vAlign w:val="center"/>
          </w:tcPr>
          <w:p w14:paraId="24B63864">
            <w:pPr>
              <w:ind w:firstLine="0" w:firstLineChars="0"/>
              <w:jc w:val="center"/>
              <w:rPr>
                <w:rFonts w:hint="eastAsia" w:ascii="仿宋_GB2312" w:hAnsi="宋体" w:eastAsia="仿宋_GB2312"/>
                <w:color w:val="auto"/>
                <w:sz w:val="24"/>
                <w:szCs w:val="24"/>
                <w:highlight w:val="none"/>
                <w:lang w:val="en-US" w:eastAsia="zh-CN"/>
              </w:rPr>
            </w:pPr>
            <w:r>
              <w:rPr>
                <w:rFonts w:hint="eastAsia" w:ascii="仿宋_GB2312" w:hAnsi="宋体" w:eastAsia="仿宋_GB2312"/>
                <w:color w:val="auto"/>
                <w:sz w:val="24"/>
                <w:szCs w:val="24"/>
                <w:highlight w:val="none"/>
                <w:lang w:val="en-US" w:eastAsia="zh-CN"/>
              </w:rPr>
              <w:t>《启动自驾游部分土地公开招租的事项批复》</w:t>
            </w:r>
          </w:p>
          <w:p w14:paraId="44F8CAF0">
            <w:pPr>
              <w:ind w:firstLine="0" w:firstLineChars="0"/>
              <w:jc w:val="center"/>
              <w:rPr>
                <w:rFonts w:hint="eastAsia" w:ascii="仿宋_GB2312" w:hAnsi="宋体" w:eastAsia="仿宋_GB2312"/>
                <w:color w:val="auto"/>
                <w:sz w:val="24"/>
                <w:szCs w:val="24"/>
                <w:highlight w:val="none"/>
                <w:lang w:val="en-US" w:eastAsia="zh-CN"/>
              </w:rPr>
            </w:pPr>
            <w:r>
              <w:rPr>
                <w:rFonts w:hint="eastAsia" w:ascii="仿宋_GB2312" w:hAnsi="宋体" w:eastAsia="仿宋_GB2312"/>
                <w:color w:val="auto"/>
                <w:sz w:val="24"/>
                <w:szCs w:val="24"/>
                <w:highlight w:val="none"/>
                <w:lang w:val="en-US" w:eastAsia="zh-CN"/>
              </w:rPr>
              <w:t>事项批复JYX[2025]106号</w:t>
            </w:r>
          </w:p>
        </w:tc>
      </w:tr>
      <w:tr w14:paraId="0679D6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75" w:type="dxa"/>
            <w:vMerge w:val="continue"/>
            <w:vAlign w:val="center"/>
          </w:tcPr>
          <w:p w14:paraId="6EBD22A1">
            <w:pPr>
              <w:jc w:val="center"/>
              <w:rPr>
                <w:rFonts w:ascii="仿宋_GB2312" w:hAnsi="宋体" w:eastAsia="仿宋_GB2312"/>
                <w:b/>
                <w:color w:val="auto"/>
                <w:sz w:val="24"/>
                <w:szCs w:val="24"/>
                <w:highlight w:val="none"/>
              </w:rPr>
            </w:pPr>
          </w:p>
        </w:tc>
        <w:tc>
          <w:tcPr>
            <w:tcW w:w="1636" w:type="dxa"/>
            <w:vAlign w:val="center"/>
          </w:tcPr>
          <w:p w14:paraId="1351F601">
            <w:pPr>
              <w:adjustRightInd w:val="0"/>
              <w:snapToGrid w:val="0"/>
              <w:jc w:val="center"/>
              <w:rPr>
                <w:rFonts w:ascii="仿宋_GB2312" w:hAnsi="宋体" w:eastAsia="仿宋_GB2312" w:cs="华文仿宋"/>
                <w:color w:val="auto"/>
                <w:sz w:val="24"/>
                <w:szCs w:val="24"/>
                <w:highlight w:val="none"/>
              </w:rPr>
            </w:pPr>
            <w:r>
              <w:rPr>
                <w:rFonts w:hint="eastAsia" w:ascii="仿宋_GB2312" w:hAnsi="宋体" w:eastAsia="仿宋_GB2312" w:cs="华文仿宋"/>
                <w:color w:val="auto"/>
                <w:sz w:val="24"/>
                <w:szCs w:val="24"/>
                <w:highlight w:val="none"/>
              </w:rPr>
              <w:t>上级部门</w:t>
            </w:r>
          </w:p>
          <w:p w14:paraId="29199D9D">
            <w:pPr>
              <w:adjustRightInd w:val="0"/>
              <w:snapToGrid w:val="0"/>
              <w:jc w:val="center"/>
              <w:rPr>
                <w:rFonts w:ascii="仿宋_GB2312" w:hAnsi="宋体" w:eastAsia="仿宋_GB2312" w:cs="华文仿宋"/>
                <w:color w:val="auto"/>
                <w:sz w:val="24"/>
                <w:szCs w:val="24"/>
                <w:highlight w:val="none"/>
              </w:rPr>
            </w:pPr>
            <w:r>
              <w:rPr>
                <w:rFonts w:hint="eastAsia" w:ascii="仿宋_GB2312" w:hAnsi="宋体" w:eastAsia="仿宋_GB2312" w:cs="华文仿宋"/>
                <w:color w:val="auto"/>
                <w:sz w:val="24"/>
                <w:szCs w:val="24"/>
                <w:highlight w:val="none"/>
              </w:rPr>
              <w:t>批准情况</w:t>
            </w:r>
          </w:p>
        </w:tc>
        <w:tc>
          <w:tcPr>
            <w:tcW w:w="5812" w:type="dxa"/>
            <w:gridSpan w:val="3"/>
            <w:vAlign w:val="center"/>
          </w:tcPr>
          <w:p w14:paraId="5A247597">
            <w:pPr>
              <w:jc w:val="center"/>
              <w:rPr>
                <w:rFonts w:hint="eastAsia" w:ascii="仿宋_GB2312" w:hAnsi="仿宋_GB2312" w:eastAsia="仿宋_GB2312" w:cs="仿宋_GB2312"/>
                <w:color w:val="auto"/>
                <w:sz w:val="24"/>
                <w:szCs w:val="24"/>
                <w:highlight w:val="none"/>
                <w:u w:val="none"/>
                <w:lang w:val="en-US" w:eastAsia="zh-CN"/>
              </w:rPr>
            </w:pPr>
            <w:r>
              <w:rPr>
                <w:rFonts w:hint="eastAsia" w:ascii="仿宋_GB2312" w:hAnsi="仿宋_GB2312" w:eastAsia="仿宋_GB2312" w:cs="仿宋_GB2312"/>
                <w:color w:val="auto"/>
                <w:sz w:val="24"/>
                <w:szCs w:val="24"/>
                <w:highlight w:val="none"/>
                <w:u w:val="none"/>
                <w:lang w:val="en-US" w:eastAsia="zh-CN"/>
              </w:rPr>
              <w:t>山东神洲园林有限公司会议纪要</w:t>
            </w:r>
          </w:p>
          <w:p w14:paraId="35E1BC35">
            <w:pPr>
              <w:jc w:val="center"/>
              <w:rPr>
                <w:rFonts w:ascii="仿宋_GB2312" w:hAnsi="宋体" w:eastAsia="仿宋_GB2312"/>
                <w:color w:val="auto"/>
                <w:sz w:val="24"/>
                <w:szCs w:val="24"/>
                <w:highlight w:val="none"/>
              </w:rPr>
            </w:pPr>
            <w:r>
              <w:rPr>
                <w:rFonts w:hint="eastAsia" w:ascii="仿宋_GB2312" w:hAnsi="仿宋_GB2312" w:eastAsia="仿宋_GB2312" w:cs="仿宋_GB2312"/>
                <w:color w:val="auto"/>
                <w:sz w:val="24"/>
                <w:szCs w:val="24"/>
                <w:highlight w:val="none"/>
                <w:u w:val="none"/>
                <w:lang w:val="en-US" w:eastAsia="zh-CN"/>
              </w:rPr>
              <w:t>山神总办纪要〔2025〕22号</w:t>
            </w:r>
          </w:p>
        </w:tc>
      </w:tr>
      <w:tr w14:paraId="5D565B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75" w:type="dxa"/>
            <w:vMerge w:val="continue"/>
            <w:vAlign w:val="center"/>
          </w:tcPr>
          <w:p w14:paraId="519F812A">
            <w:pPr>
              <w:jc w:val="center"/>
              <w:rPr>
                <w:rFonts w:ascii="仿宋_GB2312" w:hAnsi="宋体" w:eastAsia="仿宋_GB2312"/>
                <w:b/>
                <w:color w:val="auto"/>
                <w:sz w:val="24"/>
                <w:szCs w:val="24"/>
                <w:highlight w:val="none"/>
              </w:rPr>
            </w:pPr>
          </w:p>
        </w:tc>
        <w:tc>
          <w:tcPr>
            <w:tcW w:w="1636" w:type="dxa"/>
            <w:vAlign w:val="center"/>
          </w:tcPr>
          <w:p w14:paraId="7B984981">
            <w:pPr>
              <w:adjustRightInd w:val="0"/>
              <w:snapToGrid w:val="0"/>
              <w:jc w:val="center"/>
              <w:rPr>
                <w:rFonts w:ascii="仿宋_GB2312" w:hAnsi="宋体" w:eastAsia="仿宋_GB2312" w:cs="华文仿宋"/>
                <w:color w:val="auto"/>
                <w:sz w:val="24"/>
                <w:szCs w:val="24"/>
                <w:highlight w:val="none"/>
              </w:rPr>
            </w:pPr>
            <w:r>
              <w:rPr>
                <w:rFonts w:hint="eastAsia" w:ascii="仿宋_GB2312" w:hAnsi="宋体" w:eastAsia="仿宋_GB2312" w:cs="宋体"/>
                <w:color w:val="auto"/>
                <w:sz w:val="24"/>
                <w:szCs w:val="24"/>
                <w:highlight w:val="none"/>
              </w:rPr>
              <w:t>评估\</w:t>
            </w:r>
            <w:r>
              <w:rPr>
                <w:rFonts w:hint="eastAsia" w:ascii="仿宋_GB2312" w:hAnsi="宋体" w:eastAsia="仿宋_GB2312" w:cs="华文仿宋"/>
                <w:color w:val="auto"/>
                <w:sz w:val="24"/>
                <w:szCs w:val="24"/>
                <w:highlight w:val="none"/>
              </w:rPr>
              <w:t>参照价格确定依据</w:t>
            </w:r>
          </w:p>
        </w:tc>
        <w:tc>
          <w:tcPr>
            <w:tcW w:w="5812" w:type="dxa"/>
            <w:gridSpan w:val="3"/>
            <w:shd w:val="clear" w:color="auto" w:fill="auto"/>
            <w:vAlign w:val="center"/>
          </w:tcPr>
          <w:p w14:paraId="787E6CB8">
            <w:pPr>
              <w:jc w:val="center"/>
              <w:rPr>
                <w:rFonts w:hint="default" w:ascii="仿宋_GB2312" w:hAnsi="宋体" w:eastAsia="仿宋_GB2312"/>
                <w:color w:val="auto"/>
                <w:sz w:val="24"/>
                <w:szCs w:val="24"/>
                <w:highlight w:val="none"/>
                <w:lang w:val="en-US" w:eastAsia="zh-CN"/>
              </w:rPr>
            </w:pPr>
            <w:r>
              <w:rPr>
                <w:rFonts w:hint="default" w:ascii="仿宋_GB2312" w:hAnsi="宋体" w:eastAsia="仿宋_GB2312"/>
                <w:color w:val="auto"/>
                <w:sz w:val="24"/>
                <w:szCs w:val="24"/>
                <w:highlight w:val="none"/>
                <w:lang w:val="en-US" w:eastAsia="zh-CN"/>
              </w:rPr>
              <w:t>鲁德信评报字【2025】第 0</w:t>
            </w:r>
            <w:r>
              <w:rPr>
                <w:rFonts w:hint="eastAsia" w:ascii="仿宋_GB2312" w:hAnsi="宋体" w:eastAsia="仿宋_GB2312"/>
                <w:color w:val="auto"/>
                <w:sz w:val="24"/>
                <w:szCs w:val="24"/>
                <w:highlight w:val="none"/>
                <w:lang w:val="en-US" w:eastAsia="zh-CN"/>
              </w:rPr>
              <w:t>96</w:t>
            </w:r>
            <w:r>
              <w:rPr>
                <w:rFonts w:hint="default" w:ascii="仿宋_GB2312" w:hAnsi="宋体" w:eastAsia="仿宋_GB2312"/>
                <w:color w:val="auto"/>
                <w:sz w:val="24"/>
                <w:szCs w:val="24"/>
                <w:highlight w:val="none"/>
                <w:lang w:val="en-US" w:eastAsia="zh-CN"/>
              </w:rPr>
              <w:t>号</w:t>
            </w:r>
          </w:p>
        </w:tc>
      </w:tr>
      <w:tr w14:paraId="5EC30C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75" w:type="dxa"/>
            <w:vMerge w:val="continue"/>
            <w:vAlign w:val="center"/>
          </w:tcPr>
          <w:p w14:paraId="74A1C6DF">
            <w:pPr>
              <w:jc w:val="center"/>
              <w:rPr>
                <w:rFonts w:ascii="仿宋_GB2312" w:hAnsi="宋体" w:eastAsia="仿宋_GB2312"/>
                <w:b/>
                <w:color w:val="auto"/>
                <w:sz w:val="24"/>
                <w:szCs w:val="24"/>
                <w:highlight w:val="none"/>
              </w:rPr>
            </w:pPr>
          </w:p>
        </w:tc>
        <w:tc>
          <w:tcPr>
            <w:tcW w:w="1636" w:type="dxa"/>
            <w:vAlign w:val="center"/>
          </w:tcPr>
          <w:p w14:paraId="3BB808F6">
            <w:pPr>
              <w:adjustRightInd w:val="0"/>
              <w:snapToGrid w:val="0"/>
              <w:jc w:val="center"/>
              <w:rPr>
                <w:rFonts w:ascii="仿宋_GB2312" w:hAnsi="宋体" w:eastAsia="仿宋_GB2312" w:cs="华文仿宋"/>
                <w:color w:val="auto"/>
                <w:sz w:val="24"/>
                <w:szCs w:val="24"/>
                <w:highlight w:val="none"/>
              </w:rPr>
            </w:pPr>
            <w:r>
              <w:rPr>
                <w:rFonts w:hint="eastAsia" w:ascii="仿宋_GB2312" w:hAnsi="宋体" w:eastAsia="仿宋_GB2312" w:cs="华文仿宋"/>
                <w:color w:val="auto"/>
                <w:sz w:val="24"/>
                <w:szCs w:val="24"/>
                <w:highlight w:val="none"/>
              </w:rPr>
              <w:t>价格核准</w:t>
            </w:r>
          </w:p>
          <w:p w14:paraId="2BCA9151">
            <w:pPr>
              <w:adjustRightInd w:val="0"/>
              <w:snapToGrid w:val="0"/>
              <w:jc w:val="center"/>
              <w:rPr>
                <w:rFonts w:ascii="仿宋_GB2312" w:hAnsi="宋体" w:eastAsia="仿宋_GB2312" w:cs="华文仿宋"/>
                <w:color w:val="auto"/>
                <w:sz w:val="24"/>
                <w:szCs w:val="24"/>
                <w:highlight w:val="none"/>
              </w:rPr>
            </w:pPr>
            <w:r>
              <w:rPr>
                <w:rFonts w:hint="eastAsia" w:ascii="仿宋_GB2312" w:hAnsi="宋体" w:eastAsia="仿宋_GB2312" w:cs="华文仿宋"/>
                <w:color w:val="auto"/>
                <w:sz w:val="24"/>
                <w:szCs w:val="24"/>
                <w:highlight w:val="none"/>
              </w:rPr>
              <w:t>备案部门</w:t>
            </w:r>
          </w:p>
        </w:tc>
        <w:tc>
          <w:tcPr>
            <w:tcW w:w="5812" w:type="dxa"/>
            <w:gridSpan w:val="3"/>
            <w:shd w:val="clear" w:color="auto" w:fill="auto"/>
            <w:vAlign w:val="center"/>
          </w:tcPr>
          <w:p w14:paraId="49BDB59F">
            <w:pPr>
              <w:jc w:val="center"/>
              <w:rPr>
                <w:rFonts w:hint="default" w:ascii="仿宋_GB2312" w:hAnsi="宋体" w:eastAsia="仿宋_GB2312" w:cstheme="minorBidi"/>
                <w:color w:val="auto"/>
                <w:kern w:val="2"/>
                <w:sz w:val="24"/>
                <w:szCs w:val="24"/>
                <w:highlight w:val="none"/>
                <w:lang w:val="en-US" w:eastAsia="zh-CN" w:bidi="ar-SA"/>
              </w:rPr>
            </w:pPr>
            <w:r>
              <w:rPr>
                <w:rFonts w:hint="eastAsia" w:ascii="仿宋_GB2312" w:hAnsi="宋体" w:eastAsia="仿宋_GB2312" w:cstheme="minorBidi"/>
                <w:color w:val="auto"/>
                <w:kern w:val="2"/>
                <w:sz w:val="24"/>
                <w:szCs w:val="24"/>
                <w:highlight w:val="none"/>
                <w:lang w:val="en-US" w:eastAsia="zh-CN" w:bidi="ar-SA"/>
              </w:rPr>
              <w:t>济南文旅发展集团有限公司</w:t>
            </w:r>
          </w:p>
        </w:tc>
      </w:tr>
      <w:tr w14:paraId="1A16A5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875" w:type="dxa"/>
            <w:vAlign w:val="center"/>
          </w:tcPr>
          <w:p w14:paraId="3470433B">
            <w:pPr>
              <w:jc w:val="center"/>
              <w:rPr>
                <w:rFonts w:ascii="仿宋_GB2312" w:hAnsi="宋体" w:eastAsia="仿宋_GB2312"/>
                <w:b/>
                <w:color w:val="auto"/>
                <w:sz w:val="24"/>
                <w:szCs w:val="24"/>
                <w:highlight w:val="none"/>
              </w:rPr>
            </w:pPr>
            <w:r>
              <w:rPr>
                <w:rFonts w:hint="eastAsia" w:ascii="仿宋_GB2312" w:hAnsi="宋体" w:eastAsia="仿宋_GB2312"/>
                <w:b/>
                <w:color w:val="auto"/>
                <w:sz w:val="24"/>
                <w:szCs w:val="24"/>
                <w:highlight w:val="none"/>
              </w:rPr>
              <w:t>标的简介</w:t>
            </w:r>
          </w:p>
        </w:tc>
        <w:tc>
          <w:tcPr>
            <w:tcW w:w="7448" w:type="dxa"/>
            <w:gridSpan w:val="4"/>
            <w:vAlign w:val="center"/>
          </w:tcPr>
          <w:p w14:paraId="0A1766A5">
            <w:pPr>
              <w:ind w:firstLine="480" w:firstLineChars="200"/>
              <w:jc w:val="both"/>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highlight w:val="none"/>
                <w:lang w:val="en-US" w:eastAsia="zh-CN"/>
              </w:rPr>
              <w:t>地块</w:t>
            </w:r>
            <w:r>
              <w:rPr>
                <w:rFonts w:hint="eastAsia" w:ascii="仿宋_GB2312" w:hAnsi="宋体" w:eastAsia="仿宋_GB2312"/>
                <w:color w:val="auto"/>
                <w:sz w:val="24"/>
                <w:szCs w:val="24"/>
                <w:highlight w:val="none"/>
              </w:rPr>
              <w:t>包括坐落于自驾游停车场内的三宗土地，西南角地块（752平方米）、西侧地块（1790平方米）、北侧地块（860平方米），</w:t>
            </w:r>
            <w:r>
              <w:rPr>
                <w:rFonts w:hint="eastAsia" w:ascii="仿宋_GB2312" w:hAnsi="宋体" w:eastAsia="仿宋_GB2312"/>
                <w:color w:val="auto"/>
                <w:sz w:val="24"/>
                <w:szCs w:val="24"/>
                <w:highlight w:val="none"/>
                <w:lang w:val="en-US" w:eastAsia="zh-CN"/>
              </w:rPr>
              <w:t>包含土地景观绿化、道路等基础设施</w:t>
            </w:r>
            <w:r>
              <w:rPr>
                <w:rFonts w:hint="eastAsia" w:ascii="仿宋_GB2312" w:hAnsi="宋体" w:eastAsia="仿宋_GB2312"/>
                <w:color w:val="auto"/>
                <w:sz w:val="24"/>
                <w:szCs w:val="24"/>
                <w:highlight w:val="none"/>
              </w:rPr>
              <w:t>。</w:t>
            </w:r>
          </w:p>
          <w:p w14:paraId="479D95C0">
            <w:pPr>
              <w:ind w:firstLine="480" w:firstLineChars="200"/>
              <w:jc w:val="both"/>
              <w:rPr>
                <w:rFonts w:hint="eastAsia" w:ascii="仿宋_GB2312" w:hAnsi="宋体" w:eastAsia="仿宋_GB2312"/>
                <w:color w:val="auto"/>
                <w:sz w:val="24"/>
                <w:szCs w:val="24"/>
                <w:highlight w:val="none"/>
                <w:lang w:eastAsia="zh-CN"/>
              </w:rPr>
            </w:pPr>
            <w:r>
              <w:rPr>
                <w:rFonts w:hint="eastAsia" w:ascii="仿宋_GB2312" w:hAnsi="宋体" w:eastAsia="仿宋_GB2312"/>
                <w:color w:val="auto"/>
                <w:sz w:val="24"/>
                <w:szCs w:val="24"/>
                <w:highlight w:val="none"/>
              </w:rPr>
              <w:t>标的查勘联系人:</w:t>
            </w:r>
            <w:r>
              <w:rPr>
                <w:rFonts w:hint="eastAsia" w:ascii="仿宋_GB2312" w:hAnsi="宋体" w:eastAsia="仿宋_GB2312"/>
                <w:color w:val="auto"/>
                <w:sz w:val="24"/>
                <w:szCs w:val="24"/>
                <w:highlight w:val="none"/>
                <w:lang w:eastAsia="zh-CN"/>
              </w:rPr>
              <w:t>鞠旭光</w:t>
            </w:r>
            <w:r>
              <w:rPr>
                <w:rFonts w:hint="eastAsia" w:ascii="仿宋_GB2312" w:hAnsi="宋体" w:eastAsia="仿宋_GB2312"/>
                <w:color w:val="auto"/>
                <w:sz w:val="24"/>
                <w:szCs w:val="24"/>
                <w:highlight w:val="none"/>
              </w:rPr>
              <w:t xml:space="preserve"> </w:t>
            </w:r>
            <w:r>
              <w:rPr>
                <w:rFonts w:hint="eastAsia" w:ascii="仿宋_GB2312" w:hAnsi="宋体" w:eastAsia="仿宋_GB2312"/>
                <w:color w:val="auto"/>
                <w:sz w:val="24"/>
                <w:szCs w:val="24"/>
                <w:highlight w:val="none"/>
                <w:lang w:val="en-US" w:eastAsia="zh-CN"/>
              </w:rPr>
              <w:t xml:space="preserve">  </w:t>
            </w:r>
            <w:r>
              <w:rPr>
                <w:rFonts w:hint="eastAsia" w:ascii="仿宋_GB2312" w:hAnsi="宋体" w:eastAsia="仿宋_GB2312"/>
                <w:color w:val="auto"/>
                <w:sz w:val="24"/>
                <w:szCs w:val="24"/>
                <w:highlight w:val="none"/>
              </w:rPr>
              <w:t>联系电话:</w:t>
            </w:r>
            <w:r>
              <w:rPr>
                <w:rFonts w:hint="eastAsia" w:ascii="仿宋_GB2312" w:hAnsi="宋体" w:eastAsia="仿宋_GB2312"/>
                <w:color w:val="auto"/>
                <w:sz w:val="24"/>
                <w:szCs w:val="24"/>
                <w:highlight w:val="none"/>
                <w:lang w:eastAsia="zh-CN"/>
              </w:rPr>
              <w:t>18653197825</w:t>
            </w:r>
          </w:p>
        </w:tc>
      </w:tr>
      <w:tr w14:paraId="2ECED1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875" w:type="dxa"/>
            <w:vAlign w:val="center"/>
          </w:tcPr>
          <w:p w14:paraId="380F6DC4">
            <w:pPr>
              <w:jc w:val="center"/>
              <w:rPr>
                <w:rFonts w:ascii="仿宋_GB2312" w:hAnsi="宋体" w:eastAsia="仿宋_GB2312"/>
                <w:b/>
                <w:color w:val="auto"/>
                <w:sz w:val="24"/>
                <w:szCs w:val="24"/>
                <w:highlight w:val="none"/>
              </w:rPr>
            </w:pPr>
            <w:r>
              <w:rPr>
                <w:rFonts w:hint="eastAsia" w:ascii="仿宋_GB2312" w:hAnsi="宋体" w:eastAsia="仿宋_GB2312"/>
                <w:b/>
                <w:color w:val="auto"/>
                <w:sz w:val="24"/>
                <w:szCs w:val="24"/>
                <w:highlight w:val="none"/>
              </w:rPr>
              <w:t>标的出租必要性</w:t>
            </w:r>
          </w:p>
        </w:tc>
        <w:tc>
          <w:tcPr>
            <w:tcW w:w="7448" w:type="dxa"/>
            <w:gridSpan w:val="4"/>
            <w:vAlign w:val="center"/>
          </w:tcPr>
          <w:p w14:paraId="09A5EC8B">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ascii="仿宋_GB2312" w:hAnsi="宋体" w:eastAsia="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为充分利用公司资产，促进公司收益，拟计划通过公开招租的方式寻找新的合作商。</w:t>
            </w:r>
          </w:p>
        </w:tc>
      </w:tr>
    </w:tbl>
    <w:p w14:paraId="375702BA">
      <w:pPr>
        <w:jc w:val="left"/>
        <w:rPr>
          <w:rFonts w:ascii="黑体" w:hAnsi="黑体" w:eastAsia="黑体"/>
          <w:bCs/>
          <w:color w:val="auto"/>
          <w:sz w:val="32"/>
          <w:szCs w:val="32"/>
          <w:highlight w:val="none"/>
        </w:rPr>
      </w:pPr>
      <w:r>
        <w:rPr>
          <w:rFonts w:hint="eastAsia" w:ascii="黑体" w:hAnsi="黑体" w:eastAsia="黑体"/>
          <w:bCs/>
          <w:color w:val="auto"/>
          <w:sz w:val="32"/>
          <w:szCs w:val="32"/>
          <w:highlight w:val="none"/>
        </w:rPr>
        <w:t>二、交易及资格条件</w:t>
      </w:r>
    </w:p>
    <w:tbl>
      <w:tblPr>
        <w:tblStyle w:val="9"/>
        <w:tblW w:w="834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69"/>
        <w:gridCol w:w="1276"/>
        <w:gridCol w:w="2675"/>
        <w:gridCol w:w="1276"/>
        <w:gridCol w:w="2245"/>
      </w:tblGrid>
      <w:tr w14:paraId="2505BF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19" w:hRule="exact"/>
          <w:jc w:val="center"/>
        </w:trPr>
        <w:tc>
          <w:tcPr>
            <w:tcW w:w="869" w:type="dxa"/>
            <w:vMerge w:val="restart"/>
            <w:tcBorders>
              <w:top w:val="single" w:color="auto" w:sz="12" w:space="0"/>
            </w:tcBorders>
            <w:vAlign w:val="center"/>
          </w:tcPr>
          <w:p w14:paraId="1FAEB793">
            <w:pPr>
              <w:jc w:val="center"/>
              <w:rPr>
                <w:rFonts w:ascii="仿宋_GB2312" w:hAnsi="宋体" w:eastAsia="仿宋_GB2312"/>
                <w:b/>
                <w:color w:val="auto"/>
                <w:sz w:val="24"/>
                <w:highlight w:val="none"/>
              </w:rPr>
            </w:pPr>
            <w:bookmarkStart w:id="0" w:name="OLE_LINK14"/>
            <w:bookmarkStart w:id="1" w:name="OLE_LINK13"/>
            <w:r>
              <w:rPr>
                <w:rFonts w:hint="eastAsia" w:ascii="仿宋_GB2312" w:hAnsi="宋体" w:eastAsia="仿宋_GB2312"/>
                <w:b/>
                <w:color w:val="auto"/>
                <w:sz w:val="24"/>
                <w:highlight w:val="none"/>
              </w:rPr>
              <w:t>承租交易条件</w:t>
            </w:r>
            <w:bookmarkEnd w:id="0"/>
            <w:bookmarkEnd w:id="1"/>
          </w:p>
        </w:tc>
        <w:tc>
          <w:tcPr>
            <w:tcW w:w="1276" w:type="dxa"/>
            <w:tcBorders>
              <w:top w:val="single" w:color="auto" w:sz="12" w:space="0"/>
            </w:tcBorders>
            <w:vAlign w:val="center"/>
          </w:tcPr>
          <w:p w14:paraId="2CC8B01A">
            <w:pPr>
              <w:jc w:val="center"/>
              <w:rPr>
                <w:rFonts w:ascii="仿宋_GB2312" w:hAnsi="宋体" w:eastAsia="仿宋_GB2312"/>
                <w:color w:val="auto"/>
                <w:sz w:val="24"/>
                <w:highlight w:val="none"/>
              </w:rPr>
            </w:pPr>
            <w:r>
              <w:rPr>
                <w:rFonts w:hint="eastAsia" w:ascii="仿宋_GB2312" w:hAnsi="宋体" w:eastAsia="仿宋_GB2312"/>
                <w:color w:val="auto"/>
                <w:sz w:val="24"/>
                <w:highlight w:val="none"/>
              </w:rPr>
              <w:t>出租期限</w:t>
            </w:r>
          </w:p>
        </w:tc>
        <w:tc>
          <w:tcPr>
            <w:tcW w:w="2675" w:type="dxa"/>
            <w:tcBorders>
              <w:top w:val="single" w:color="auto" w:sz="12" w:space="0"/>
            </w:tcBorders>
            <w:vAlign w:val="center"/>
          </w:tcPr>
          <w:p w14:paraId="7EF03B8D">
            <w:pPr>
              <w:jc w:val="center"/>
              <w:rPr>
                <w:rFonts w:ascii="仿宋_GB2312" w:hAnsi="宋体" w:eastAsia="仿宋_GB2312"/>
                <w:color w:val="auto"/>
                <w:sz w:val="24"/>
                <w:highlight w:val="none"/>
              </w:rPr>
            </w:pPr>
            <w:r>
              <w:rPr>
                <w:rFonts w:hint="eastAsia" w:ascii="仿宋_GB2312" w:hAnsi="宋体" w:eastAsia="仿宋_GB2312"/>
                <w:color w:val="auto"/>
                <w:sz w:val="24"/>
                <w:highlight w:val="none"/>
                <w:lang w:val="en-US" w:eastAsia="zh-CN"/>
              </w:rPr>
              <w:t>1</w:t>
            </w:r>
            <w:r>
              <w:rPr>
                <w:rFonts w:hint="eastAsia" w:ascii="仿宋_GB2312" w:hAnsi="宋体" w:eastAsia="仿宋_GB2312"/>
                <w:color w:val="auto"/>
                <w:sz w:val="24"/>
                <w:highlight w:val="none"/>
              </w:rPr>
              <w:t>年</w:t>
            </w:r>
          </w:p>
        </w:tc>
        <w:tc>
          <w:tcPr>
            <w:tcW w:w="1276" w:type="dxa"/>
            <w:tcBorders>
              <w:top w:val="single" w:color="auto" w:sz="12" w:space="0"/>
            </w:tcBorders>
            <w:vAlign w:val="center"/>
          </w:tcPr>
          <w:p w14:paraId="0FA7F854">
            <w:pPr>
              <w:jc w:val="center"/>
              <w:rPr>
                <w:rFonts w:ascii="仿宋_GB2312" w:hAnsi="宋体" w:eastAsia="仿宋_GB2312"/>
                <w:color w:val="auto"/>
                <w:sz w:val="24"/>
                <w:highlight w:val="none"/>
              </w:rPr>
            </w:pPr>
            <w:r>
              <w:rPr>
                <w:rFonts w:hint="eastAsia" w:ascii="仿宋_GB2312" w:hAnsi="宋体" w:eastAsia="仿宋_GB2312"/>
                <w:color w:val="auto"/>
                <w:sz w:val="24"/>
                <w:highlight w:val="none"/>
              </w:rPr>
              <w:t>租金标准</w:t>
            </w:r>
          </w:p>
        </w:tc>
        <w:tc>
          <w:tcPr>
            <w:tcW w:w="2245" w:type="dxa"/>
            <w:tcBorders>
              <w:top w:val="single" w:color="auto" w:sz="12" w:space="0"/>
            </w:tcBorders>
            <w:vAlign w:val="center"/>
          </w:tcPr>
          <w:p w14:paraId="3250D1F8">
            <w:pPr>
              <w:jc w:val="center"/>
              <w:rPr>
                <w:rFonts w:ascii="仿宋_GB2312" w:hAnsi="宋体" w:eastAsia="仿宋_GB2312"/>
                <w:color w:val="auto"/>
                <w:sz w:val="24"/>
                <w:highlight w:val="none"/>
              </w:rPr>
            </w:pPr>
            <w:r>
              <w:rPr>
                <w:rFonts w:hint="eastAsia" w:ascii="仿宋_GB2312" w:hAnsi="宋体" w:eastAsia="仿宋_GB2312"/>
                <w:color w:val="auto"/>
                <w:sz w:val="24"/>
                <w:highlight w:val="none"/>
                <w:lang w:val="en-US" w:eastAsia="zh-CN"/>
              </w:rPr>
              <w:t>473096元/年</w:t>
            </w:r>
          </w:p>
        </w:tc>
      </w:tr>
      <w:tr w14:paraId="78CD09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07" w:hRule="exact"/>
          <w:jc w:val="center"/>
        </w:trPr>
        <w:tc>
          <w:tcPr>
            <w:tcW w:w="869" w:type="dxa"/>
            <w:vMerge w:val="continue"/>
            <w:vAlign w:val="center"/>
          </w:tcPr>
          <w:p w14:paraId="7A0B5CEA">
            <w:pPr>
              <w:jc w:val="center"/>
              <w:rPr>
                <w:rFonts w:ascii="仿宋_GB2312" w:hAnsi="宋体" w:eastAsia="仿宋_GB2312"/>
                <w:color w:val="auto"/>
                <w:sz w:val="24"/>
                <w:highlight w:val="none"/>
              </w:rPr>
            </w:pPr>
          </w:p>
        </w:tc>
        <w:tc>
          <w:tcPr>
            <w:tcW w:w="1276" w:type="dxa"/>
            <w:tcBorders>
              <w:bottom w:val="single" w:color="auto" w:sz="8" w:space="0"/>
            </w:tcBorders>
            <w:vAlign w:val="center"/>
          </w:tcPr>
          <w:p w14:paraId="5C921B29">
            <w:pPr>
              <w:spacing w:before="60" w:after="60"/>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租金标准说明</w:t>
            </w:r>
          </w:p>
        </w:tc>
        <w:tc>
          <w:tcPr>
            <w:tcW w:w="6196" w:type="dxa"/>
            <w:gridSpan w:val="3"/>
            <w:tcBorders>
              <w:bottom w:val="single" w:color="auto" w:sz="8" w:space="0"/>
            </w:tcBorders>
            <w:vAlign w:val="center"/>
          </w:tcPr>
          <w:p w14:paraId="5923B4B6">
            <w:pPr>
              <w:ind w:firstLine="480" w:firstLineChars="200"/>
              <w:rPr>
                <w:rFonts w:ascii="仿宋_GB2312" w:hAnsi="宋体" w:eastAsia="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地块位于济南野生动物世界自驾游停车场内，总面积约3402平方米，日租金：0.38元/天/㎡。</w:t>
            </w:r>
          </w:p>
        </w:tc>
      </w:tr>
      <w:tr w14:paraId="4CCB90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87" w:hRule="atLeast"/>
          <w:jc w:val="center"/>
        </w:trPr>
        <w:tc>
          <w:tcPr>
            <w:tcW w:w="869" w:type="dxa"/>
            <w:vMerge w:val="continue"/>
            <w:vAlign w:val="center"/>
          </w:tcPr>
          <w:p w14:paraId="6B48D70C">
            <w:pPr>
              <w:jc w:val="center"/>
              <w:rPr>
                <w:rFonts w:ascii="仿宋_GB2312" w:hAnsi="宋体" w:eastAsia="仿宋_GB2312"/>
                <w:color w:val="auto"/>
                <w:sz w:val="24"/>
                <w:highlight w:val="none"/>
              </w:rPr>
            </w:pPr>
          </w:p>
        </w:tc>
        <w:tc>
          <w:tcPr>
            <w:tcW w:w="1276" w:type="dxa"/>
            <w:tcBorders>
              <w:top w:val="single" w:color="auto" w:sz="8" w:space="0"/>
            </w:tcBorders>
            <w:vAlign w:val="center"/>
          </w:tcPr>
          <w:p w14:paraId="1FA1DC7F">
            <w:pPr>
              <w:spacing w:before="60" w:after="60"/>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付款期限要求</w:t>
            </w:r>
          </w:p>
        </w:tc>
        <w:tc>
          <w:tcPr>
            <w:tcW w:w="6196" w:type="dxa"/>
            <w:gridSpan w:val="3"/>
            <w:tcBorders>
              <w:top w:val="single" w:color="auto" w:sz="8" w:space="0"/>
            </w:tcBorders>
            <w:vAlign w:val="center"/>
          </w:tcPr>
          <w:p w14:paraId="29C90706">
            <w:pPr>
              <w:ind w:firstLine="480" w:firstLineChars="200"/>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lang w:val="en-US" w:eastAsia="zh-CN"/>
              </w:rPr>
              <w:t>按年支付，合同签订后5日内一次性支付。</w:t>
            </w:r>
            <w:r>
              <w:rPr>
                <w:color w:val="auto"/>
                <w:highlight w:val="none"/>
              </w:rPr>
              <w:commentReference w:id="0"/>
            </w:r>
          </w:p>
        </w:tc>
      </w:tr>
      <w:tr w14:paraId="705C1C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87" w:hRule="atLeast"/>
          <w:jc w:val="center"/>
        </w:trPr>
        <w:tc>
          <w:tcPr>
            <w:tcW w:w="869" w:type="dxa"/>
            <w:vMerge w:val="continue"/>
            <w:vAlign w:val="center"/>
          </w:tcPr>
          <w:p w14:paraId="24A45BCA">
            <w:pPr>
              <w:jc w:val="center"/>
              <w:rPr>
                <w:rFonts w:ascii="仿宋_GB2312" w:hAnsi="宋体" w:eastAsia="仿宋_GB2312"/>
                <w:color w:val="auto"/>
                <w:sz w:val="24"/>
                <w:highlight w:val="none"/>
              </w:rPr>
            </w:pPr>
          </w:p>
        </w:tc>
        <w:tc>
          <w:tcPr>
            <w:tcW w:w="1276" w:type="dxa"/>
            <w:tcBorders>
              <w:bottom w:val="single" w:color="auto" w:sz="8" w:space="0"/>
            </w:tcBorders>
            <w:vAlign w:val="center"/>
          </w:tcPr>
          <w:p w14:paraId="7EF0BF57">
            <w:pPr>
              <w:spacing w:before="60" w:after="60"/>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优先承租情况</w:t>
            </w:r>
          </w:p>
        </w:tc>
        <w:tc>
          <w:tcPr>
            <w:tcW w:w="6196" w:type="dxa"/>
            <w:gridSpan w:val="3"/>
            <w:tcBorders>
              <w:bottom w:val="single" w:color="auto" w:sz="8" w:space="0"/>
            </w:tcBorders>
            <w:vAlign w:val="center"/>
          </w:tcPr>
          <w:p w14:paraId="7405581F">
            <w:pPr>
              <w:spacing w:line="360" w:lineRule="auto"/>
              <w:ind w:firstLine="480" w:firstLineChars="200"/>
              <w:rPr>
                <w:rFonts w:ascii="仿宋_GB2312" w:hAnsi="宋体" w:eastAsia="仿宋_GB2312"/>
                <w:color w:val="auto"/>
                <w:sz w:val="24"/>
                <w:highlight w:val="none"/>
              </w:rPr>
            </w:pPr>
            <w:r>
              <w:rPr>
                <w:rFonts w:hint="eastAsia" w:ascii="仿宋_GB2312" w:hAnsi="宋体" w:eastAsia="仿宋_GB2312"/>
                <w:color w:val="auto"/>
                <w:sz w:val="24"/>
                <w:szCs w:val="24"/>
                <w:highlight w:val="none"/>
                <w:lang w:val="en-US" w:eastAsia="zh-CN"/>
              </w:rPr>
              <w:t>无</w:t>
            </w:r>
          </w:p>
        </w:tc>
      </w:tr>
      <w:tr w14:paraId="41302F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87" w:hRule="atLeast"/>
          <w:jc w:val="center"/>
        </w:trPr>
        <w:tc>
          <w:tcPr>
            <w:tcW w:w="869" w:type="dxa"/>
            <w:vMerge w:val="continue"/>
            <w:tcBorders>
              <w:bottom w:val="single" w:color="auto" w:sz="4" w:space="0"/>
            </w:tcBorders>
            <w:vAlign w:val="center"/>
          </w:tcPr>
          <w:p w14:paraId="766D0770">
            <w:pPr>
              <w:jc w:val="center"/>
              <w:rPr>
                <w:rFonts w:ascii="仿宋_GB2312" w:hAnsi="宋体" w:eastAsia="仿宋_GB2312"/>
                <w:color w:val="auto"/>
                <w:sz w:val="24"/>
                <w:highlight w:val="none"/>
              </w:rPr>
            </w:pPr>
          </w:p>
        </w:tc>
        <w:tc>
          <w:tcPr>
            <w:tcW w:w="1276" w:type="dxa"/>
            <w:tcBorders>
              <w:top w:val="single" w:color="auto" w:sz="8" w:space="0"/>
              <w:bottom w:val="single" w:color="auto" w:sz="8" w:space="0"/>
            </w:tcBorders>
            <w:vAlign w:val="center"/>
          </w:tcPr>
          <w:p w14:paraId="47B70E80">
            <w:pPr>
              <w:spacing w:before="60" w:after="60"/>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出租用途要求</w:t>
            </w:r>
          </w:p>
        </w:tc>
        <w:tc>
          <w:tcPr>
            <w:tcW w:w="6196" w:type="dxa"/>
            <w:gridSpan w:val="3"/>
            <w:tcBorders>
              <w:top w:val="single" w:color="auto" w:sz="8" w:space="0"/>
              <w:bottom w:val="single" w:color="auto" w:sz="8" w:space="0"/>
            </w:tcBorders>
            <w:vAlign w:val="center"/>
          </w:tcPr>
          <w:p w14:paraId="1D7271FE">
            <w:pPr>
              <w:jc w:val="center"/>
              <w:rPr>
                <w:rFonts w:ascii="仿宋_GB2312" w:hAnsi="宋体" w:eastAsia="仿宋_GB2312"/>
                <w:color w:val="auto"/>
                <w:sz w:val="24"/>
                <w:highlight w:val="none"/>
              </w:rPr>
            </w:pPr>
            <w:r>
              <w:rPr>
                <w:rFonts w:hint="eastAsia" w:ascii="仿宋_GB2312" w:hAnsi="宋体" w:eastAsia="仿宋_GB2312"/>
                <w:color w:val="auto"/>
                <w:sz w:val="24"/>
                <w:szCs w:val="24"/>
                <w:highlight w:val="none"/>
                <w:lang w:val="en-US" w:eastAsia="zh-CN"/>
              </w:rPr>
              <w:t>/</w:t>
            </w:r>
          </w:p>
        </w:tc>
      </w:tr>
      <w:tr w14:paraId="06DA08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97" w:hRule="atLeast"/>
          <w:jc w:val="center"/>
        </w:trPr>
        <w:tc>
          <w:tcPr>
            <w:tcW w:w="869" w:type="dxa"/>
            <w:tcBorders>
              <w:top w:val="single" w:color="auto" w:sz="4" w:space="0"/>
              <w:right w:val="single" w:color="auto" w:sz="4" w:space="0"/>
            </w:tcBorders>
            <w:vAlign w:val="center"/>
          </w:tcPr>
          <w:p w14:paraId="3C2DA298">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承租方</w:t>
            </w:r>
          </w:p>
          <w:p w14:paraId="50B14A06">
            <w:pPr>
              <w:spacing w:before="60" w:after="60"/>
              <w:jc w:val="center"/>
              <w:rPr>
                <w:rFonts w:ascii="仿宋_GB2312" w:hAnsi="宋体" w:eastAsia="仿宋_GB2312"/>
                <w:color w:val="auto"/>
                <w:sz w:val="24"/>
                <w:szCs w:val="24"/>
                <w:highlight w:val="none"/>
              </w:rPr>
            </w:pPr>
            <w:r>
              <w:rPr>
                <w:rFonts w:hint="eastAsia" w:ascii="仿宋_GB2312" w:hAnsi="宋体" w:eastAsia="仿宋_GB2312"/>
                <w:b/>
                <w:color w:val="auto"/>
                <w:sz w:val="24"/>
                <w:szCs w:val="20"/>
                <w:highlight w:val="none"/>
              </w:rPr>
              <w:t>资格条件</w:t>
            </w:r>
          </w:p>
        </w:tc>
        <w:tc>
          <w:tcPr>
            <w:tcW w:w="7472" w:type="dxa"/>
            <w:gridSpan w:val="4"/>
            <w:tcBorders>
              <w:top w:val="single" w:color="auto" w:sz="4" w:space="0"/>
              <w:left w:val="single" w:color="auto" w:sz="4" w:space="0"/>
            </w:tcBorders>
            <w:vAlign w:val="center"/>
          </w:tcPr>
          <w:p w14:paraId="574354D3">
            <w:pPr>
              <w:tabs>
                <w:tab w:val="left" w:pos="312"/>
              </w:tabs>
              <w:jc w:val="left"/>
              <w:rPr>
                <w:rFonts w:hint="eastAsia" w:ascii="仿宋_GB2312" w:hAnsi="宋体" w:eastAsia="仿宋_GB2312"/>
                <w:color w:val="auto"/>
                <w:sz w:val="24"/>
                <w:szCs w:val="24"/>
                <w:highlight w:val="none"/>
                <w:lang w:val="en-US" w:eastAsia="zh-CN"/>
              </w:rPr>
            </w:pPr>
            <w:r>
              <w:rPr>
                <w:rFonts w:hint="eastAsia" w:ascii="仿宋_GB2312" w:hAnsi="宋体" w:eastAsia="仿宋_GB2312"/>
                <w:color w:val="auto"/>
                <w:sz w:val="24"/>
                <w:szCs w:val="24"/>
                <w:highlight w:val="none"/>
                <w:lang w:val="en-US" w:eastAsia="zh-CN"/>
              </w:rPr>
              <w:t>1.承租方须为在中华人民共和国境内注册并合法运作的法人企业（如国家及行业主管部门对标的业态有强制性准入规定的，投标人须符合相关规定或提供书面承诺书，承诺承租后按要求办理合规许可）；</w:t>
            </w:r>
          </w:p>
          <w:p w14:paraId="5CE1A299">
            <w:pPr>
              <w:tabs>
                <w:tab w:val="left" w:pos="312"/>
              </w:tabs>
              <w:jc w:val="left"/>
              <w:rPr>
                <w:rFonts w:hint="eastAsia" w:ascii="仿宋_GB2312" w:hAnsi="宋体" w:eastAsia="仿宋_GB2312"/>
                <w:color w:val="auto"/>
                <w:sz w:val="24"/>
                <w:szCs w:val="24"/>
                <w:highlight w:val="none"/>
                <w:lang w:val="en-US" w:eastAsia="zh-CN"/>
              </w:rPr>
            </w:pPr>
            <w:r>
              <w:rPr>
                <w:rFonts w:hint="eastAsia" w:ascii="仿宋_GB2312" w:hAnsi="宋体" w:eastAsia="仿宋_GB2312"/>
                <w:color w:val="auto"/>
                <w:sz w:val="24"/>
                <w:szCs w:val="24"/>
                <w:highlight w:val="none"/>
                <w:lang w:val="en-US" w:eastAsia="zh-CN"/>
              </w:rPr>
              <w:t>2.承租方财务状况和经营状况良好，具备足额支付租金、履行合同的能力及相应资金保障；</w:t>
            </w:r>
          </w:p>
          <w:p w14:paraId="09606ED8">
            <w:pPr>
              <w:tabs>
                <w:tab w:val="left" w:pos="312"/>
              </w:tabs>
              <w:jc w:val="left"/>
              <w:rPr>
                <w:rFonts w:hint="eastAsia" w:ascii="仿宋_GB2312" w:hAnsi="宋体" w:eastAsia="仿宋_GB2312"/>
                <w:color w:val="auto"/>
                <w:sz w:val="24"/>
                <w:szCs w:val="24"/>
                <w:highlight w:val="none"/>
                <w:lang w:val="en-US" w:eastAsia="zh-CN"/>
              </w:rPr>
            </w:pPr>
            <w:r>
              <w:rPr>
                <w:rFonts w:hint="eastAsia" w:ascii="仿宋_GB2312" w:hAnsi="宋体" w:eastAsia="仿宋_GB2312"/>
                <w:color w:val="auto"/>
                <w:sz w:val="24"/>
                <w:szCs w:val="24"/>
                <w:highlight w:val="none"/>
                <w:lang w:val="en-US" w:eastAsia="zh-CN"/>
              </w:rPr>
              <w:t>3.承租方须未被“信用中国”网站列入失信被执行人、重大税收违法失信主体名单，在“信用中国”网站中被列入失信被执行人、重大税收违法失信主体名单的投标人，不得参加本次招标活动；</w:t>
            </w:r>
          </w:p>
          <w:p w14:paraId="44927D38">
            <w:pPr>
              <w:tabs>
                <w:tab w:val="left" w:pos="312"/>
              </w:tabs>
              <w:jc w:val="left"/>
              <w:rPr>
                <w:rFonts w:hint="eastAsia" w:ascii="仿宋_GB2312" w:hAnsi="宋体" w:eastAsia="仿宋_GB2312"/>
                <w:color w:val="auto"/>
                <w:sz w:val="24"/>
                <w:szCs w:val="24"/>
                <w:highlight w:val="none"/>
                <w:lang w:val="en-US" w:eastAsia="zh-CN"/>
              </w:rPr>
            </w:pPr>
            <w:r>
              <w:rPr>
                <w:rFonts w:hint="eastAsia" w:ascii="仿宋_GB2312" w:hAnsi="宋体" w:eastAsia="仿宋_GB2312"/>
                <w:color w:val="auto"/>
                <w:sz w:val="24"/>
                <w:szCs w:val="24"/>
                <w:highlight w:val="none"/>
                <w:lang w:val="en-US" w:eastAsia="zh-CN"/>
              </w:rPr>
              <w:t>4.承租方近3年经营活动中无重大违法违规记录、无重大质量安全问题及事故（提供书面声明并加盖公章）；</w:t>
            </w:r>
          </w:p>
          <w:p w14:paraId="7E1929E9">
            <w:pPr>
              <w:tabs>
                <w:tab w:val="left" w:pos="312"/>
              </w:tabs>
              <w:jc w:val="left"/>
              <w:rPr>
                <w:rFonts w:hint="eastAsia" w:ascii="仿宋_GB2312" w:hAnsi="宋体" w:eastAsia="仿宋_GB2312"/>
                <w:color w:val="auto"/>
                <w:sz w:val="24"/>
                <w:szCs w:val="24"/>
                <w:highlight w:val="none"/>
                <w:lang w:val="en-US" w:eastAsia="zh-CN"/>
              </w:rPr>
            </w:pPr>
            <w:r>
              <w:rPr>
                <w:rFonts w:hint="eastAsia" w:ascii="仿宋_GB2312" w:hAnsi="宋体" w:eastAsia="仿宋_GB2312"/>
                <w:color w:val="auto"/>
                <w:sz w:val="24"/>
                <w:szCs w:val="24"/>
                <w:highlight w:val="none"/>
                <w:lang w:val="en-US" w:eastAsia="zh-CN"/>
              </w:rPr>
              <w:t>5.承租方未处于被行政机关或监管机构责令停业、财产被接管、冻结或破产状态，不存在恶意拖欠员工工资行为（提供书面声明并加盖公章）；</w:t>
            </w:r>
          </w:p>
          <w:p w14:paraId="4A284603">
            <w:pPr>
              <w:tabs>
                <w:tab w:val="left" w:pos="312"/>
              </w:tabs>
              <w:jc w:val="left"/>
              <w:rPr>
                <w:rFonts w:hint="eastAsia" w:ascii="仿宋_GB2312" w:hAnsi="宋体" w:eastAsia="仿宋_GB2312"/>
                <w:color w:val="auto"/>
                <w:sz w:val="24"/>
                <w:szCs w:val="24"/>
                <w:highlight w:val="none"/>
                <w:lang w:val="en-US" w:eastAsia="zh-CN"/>
              </w:rPr>
            </w:pPr>
            <w:r>
              <w:rPr>
                <w:rFonts w:hint="eastAsia" w:ascii="仿宋_GB2312" w:hAnsi="宋体" w:eastAsia="仿宋_GB2312"/>
                <w:color w:val="auto"/>
                <w:sz w:val="24"/>
                <w:szCs w:val="24"/>
                <w:highlight w:val="none"/>
                <w:lang w:val="en-US" w:eastAsia="zh-CN"/>
              </w:rPr>
              <w:t>6.同一标的下，承租方不得与其他意向承租方的法定代表人为同一人，或存在直接控股、管理关系（提供承诺书并加盖公章）；</w:t>
            </w:r>
          </w:p>
          <w:p w14:paraId="598F24F1">
            <w:pPr>
              <w:tabs>
                <w:tab w:val="left" w:pos="312"/>
              </w:tabs>
              <w:jc w:val="left"/>
              <w:rPr>
                <w:rFonts w:hint="eastAsia" w:ascii="仿宋_GB2312" w:hAnsi="宋体" w:eastAsia="仿宋_GB2312"/>
                <w:color w:val="auto"/>
                <w:sz w:val="24"/>
                <w:szCs w:val="24"/>
                <w:highlight w:val="none"/>
                <w:lang w:val="en-US" w:eastAsia="zh-CN"/>
              </w:rPr>
            </w:pPr>
            <w:r>
              <w:rPr>
                <w:rFonts w:hint="eastAsia" w:ascii="仿宋_GB2312" w:hAnsi="宋体" w:eastAsia="仿宋_GB2312"/>
                <w:color w:val="auto"/>
                <w:sz w:val="24"/>
                <w:szCs w:val="24"/>
                <w:highlight w:val="none"/>
                <w:lang w:val="en-US" w:eastAsia="zh-CN"/>
              </w:rPr>
              <w:t>7.承租方须认可土地现状（提供承诺书，承诺：若土地原承租人存在违法违规建设，自行决定拆除整改，并承担费用；若继续使用现状被政府部门认定违法违规，自行承担拆除整改及赔偿责任）；</w:t>
            </w:r>
          </w:p>
          <w:p w14:paraId="3D81C738">
            <w:pPr>
              <w:tabs>
                <w:tab w:val="left" w:pos="312"/>
              </w:tabs>
              <w:jc w:val="left"/>
              <w:rPr>
                <w:rFonts w:hint="eastAsia" w:ascii="仿宋_GB2312" w:hAnsi="宋体" w:eastAsia="仿宋_GB2312"/>
                <w:color w:val="auto"/>
                <w:sz w:val="24"/>
                <w:szCs w:val="24"/>
                <w:highlight w:val="none"/>
                <w:lang w:val="en-US" w:eastAsia="zh-CN"/>
              </w:rPr>
            </w:pPr>
            <w:r>
              <w:rPr>
                <w:rFonts w:hint="eastAsia" w:ascii="仿宋_GB2312" w:hAnsi="宋体" w:eastAsia="仿宋_GB2312"/>
                <w:color w:val="auto"/>
                <w:sz w:val="24"/>
                <w:szCs w:val="24"/>
                <w:highlight w:val="none"/>
                <w:lang w:val="en-US" w:eastAsia="zh-CN"/>
              </w:rPr>
              <w:t>8.承租方须接受出租方园区统一管理规定，具体详见租赁合同；</w:t>
            </w:r>
          </w:p>
          <w:p w14:paraId="6ADDB82E">
            <w:pPr>
              <w:tabs>
                <w:tab w:val="left" w:pos="312"/>
              </w:tabs>
              <w:jc w:val="left"/>
              <w:rPr>
                <w:rFonts w:hint="eastAsia" w:ascii="仿宋_GB2312" w:hAnsi="宋体" w:eastAsia="仿宋_GB2312"/>
                <w:color w:val="auto"/>
                <w:sz w:val="24"/>
                <w:szCs w:val="24"/>
                <w:highlight w:val="none"/>
                <w:lang w:eastAsia="zh-CN"/>
              </w:rPr>
            </w:pPr>
            <w:r>
              <w:rPr>
                <w:rFonts w:hint="eastAsia" w:ascii="仿宋_GB2312" w:hAnsi="宋体" w:eastAsia="仿宋_GB2312"/>
                <w:color w:val="auto"/>
                <w:sz w:val="24"/>
                <w:szCs w:val="24"/>
                <w:highlight w:val="none"/>
                <w:lang w:val="en-US" w:eastAsia="zh-CN"/>
              </w:rPr>
              <w:t>9.本项目不接受联合体投标。</w:t>
            </w:r>
            <w:r>
              <w:rPr>
                <w:rFonts w:hint="eastAsia" w:ascii="仿宋_GB2312" w:hAnsi="宋体" w:eastAsia="仿宋_GB2312"/>
                <w:color w:val="auto"/>
                <w:sz w:val="24"/>
                <w:szCs w:val="24"/>
                <w:highlight w:val="none"/>
                <w:lang w:eastAsia="zh-CN"/>
              </w:rPr>
              <w:tab/>
            </w:r>
          </w:p>
        </w:tc>
      </w:tr>
      <w:tr w14:paraId="4A1A6C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86" w:hRule="exact"/>
          <w:jc w:val="center"/>
        </w:trPr>
        <w:tc>
          <w:tcPr>
            <w:tcW w:w="869" w:type="dxa"/>
            <w:tcBorders>
              <w:top w:val="single" w:color="auto" w:sz="8" w:space="0"/>
              <w:bottom w:val="single" w:color="auto" w:sz="4" w:space="0"/>
            </w:tcBorders>
            <w:vAlign w:val="center"/>
          </w:tcPr>
          <w:p w14:paraId="330D0D29">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其他标的要求</w:t>
            </w:r>
          </w:p>
        </w:tc>
        <w:tc>
          <w:tcPr>
            <w:tcW w:w="7472" w:type="dxa"/>
            <w:gridSpan w:val="4"/>
            <w:tcBorders>
              <w:top w:val="single" w:color="auto" w:sz="8" w:space="0"/>
            </w:tcBorders>
            <w:vAlign w:val="center"/>
          </w:tcPr>
          <w:p w14:paraId="4A84A6A6">
            <w:pPr>
              <w:spacing w:before="60" w:after="60"/>
              <w:ind w:firstLine="432" w:firstLineChars="180"/>
              <w:rPr>
                <w:rFonts w:hint="default" w:ascii="仿宋_GB2312" w:hAnsi="宋体" w:eastAsia="仿宋_GB2312" w:cstheme="minorBidi"/>
                <w:color w:val="auto"/>
                <w:sz w:val="24"/>
                <w:szCs w:val="24"/>
                <w:highlight w:val="none"/>
                <w:u w:val="none"/>
              </w:rPr>
            </w:pPr>
            <w:r>
              <w:rPr>
                <w:rFonts w:hint="default" w:ascii="仿宋_GB2312" w:hAnsi="宋体" w:eastAsia="仿宋_GB2312" w:cstheme="minorBidi"/>
                <w:color w:val="auto"/>
                <w:sz w:val="24"/>
                <w:szCs w:val="24"/>
                <w:highlight w:val="none"/>
                <w:u w:val="none"/>
                <w:lang w:val="en-US" w:eastAsia="zh-CN"/>
              </w:rPr>
              <w:t>1.</w:t>
            </w:r>
            <w:r>
              <w:rPr>
                <w:rFonts w:hint="default" w:ascii="仿宋_GB2312" w:hAnsi="宋体" w:eastAsia="仿宋_GB2312" w:cstheme="minorBidi"/>
                <w:color w:val="auto"/>
                <w:sz w:val="24"/>
                <w:szCs w:val="24"/>
                <w:highlight w:val="none"/>
                <w:u w:val="none"/>
              </w:rPr>
              <w:t>意向承租方向济南产权公司一经提交承租报名即表明已完全了解与认可标的资产现状及相关协议条款的约定，自愿接受本标的资产全部现状及瑕疵，并愿意承担一切责任与风险。意向承租方成为承租方后，不得以不了解房屋现状及房屋质量瑕疵等理由拒绝签订出租方提供的租赁合同、要求延长合同期或拒付租金等情况，否则被视为违约，并追究承租方相应法律责任。</w:t>
            </w:r>
          </w:p>
          <w:p w14:paraId="232DE982">
            <w:pPr>
              <w:spacing w:before="60" w:after="60" w:line="240" w:lineRule="auto"/>
              <w:ind w:firstLine="432" w:firstLineChars="180"/>
              <w:jc w:val="left"/>
              <w:rPr>
                <w:rFonts w:ascii="仿宋_GB2312" w:hAnsi="宋体" w:eastAsia="仿宋_GB2312"/>
                <w:color w:val="auto"/>
                <w:sz w:val="24"/>
                <w:szCs w:val="24"/>
                <w:highlight w:val="none"/>
              </w:rPr>
            </w:pPr>
            <w:r>
              <w:rPr>
                <w:rFonts w:hint="default" w:ascii="仿宋_GB2312" w:hAnsi="宋体" w:eastAsia="仿宋_GB2312" w:cstheme="minorBidi"/>
                <w:color w:val="auto"/>
                <w:sz w:val="24"/>
                <w:szCs w:val="24"/>
                <w:highlight w:val="none"/>
                <w:u w:val="none"/>
                <w:lang w:val="en-US" w:eastAsia="zh-CN"/>
              </w:rPr>
              <w:t>2</w:t>
            </w:r>
            <w:r>
              <w:rPr>
                <w:rFonts w:hint="default" w:ascii="仿宋_GB2312" w:hAnsi="宋体" w:eastAsia="仿宋_GB2312" w:cstheme="minorBidi"/>
                <w:color w:val="auto"/>
                <w:sz w:val="24"/>
                <w:szCs w:val="24"/>
                <w:highlight w:val="none"/>
                <w:u w:val="none"/>
              </w:rPr>
              <w:t>.</w:t>
            </w:r>
            <w:r>
              <w:rPr>
                <w:rFonts w:hint="default" w:ascii="仿宋_GB2312" w:hAnsi="宋体" w:eastAsia="仿宋_GB2312"/>
                <w:color w:val="auto"/>
                <w:sz w:val="24"/>
                <w:szCs w:val="24"/>
                <w:highlight w:val="none"/>
                <w:u w:val="none"/>
              </w:rPr>
              <w:t xml:space="preserve"> 因意向承租方违约导致项目重新挂牌的，新的挂牌成交价如低于本次成交价，则差额部分出租方有权由违约方补足。</w:t>
            </w:r>
          </w:p>
        </w:tc>
      </w:tr>
      <w:tr w14:paraId="6072F2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33" w:hRule="exact"/>
          <w:jc w:val="center"/>
        </w:trPr>
        <w:tc>
          <w:tcPr>
            <w:tcW w:w="869" w:type="dxa"/>
            <w:tcBorders>
              <w:top w:val="single" w:color="auto" w:sz="4" w:space="0"/>
            </w:tcBorders>
            <w:vAlign w:val="center"/>
          </w:tcPr>
          <w:p w14:paraId="5ED76F96">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保证金额</w:t>
            </w:r>
          </w:p>
        </w:tc>
        <w:tc>
          <w:tcPr>
            <w:tcW w:w="7472" w:type="dxa"/>
            <w:gridSpan w:val="4"/>
            <w:vAlign w:val="center"/>
          </w:tcPr>
          <w:p w14:paraId="2B080677">
            <w:pPr>
              <w:spacing w:before="60" w:after="60"/>
              <w:ind w:firstLine="432" w:firstLineChars="180"/>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lang w:val="en-US" w:eastAsia="zh-CN"/>
              </w:rPr>
              <w:t>5000元</w:t>
            </w:r>
          </w:p>
        </w:tc>
      </w:tr>
      <w:tr w14:paraId="6462DD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107" w:hRule="exact"/>
          <w:jc w:val="center"/>
        </w:trPr>
        <w:tc>
          <w:tcPr>
            <w:tcW w:w="869" w:type="dxa"/>
            <w:tcBorders>
              <w:top w:val="single" w:color="auto" w:sz="4" w:space="0"/>
            </w:tcBorders>
            <w:vAlign w:val="center"/>
          </w:tcPr>
          <w:p w14:paraId="21698AF9">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保证金</w:t>
            </w:r>
          </w:p>
          <w:p w14:paraId="0C993E10">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缴纳时间</w:t>
            </w:r>
          </w:p>
        </w:tc>
        <w:tc>
          <w:tcPr>
            <w:tcW w:w="7472" w:type="dxa"/>
            <w:gridSpan w:val="4"/>
            <w:vAlign w:val="center"/>
          </w:tcPr>
          <w:p w14:paraId="6785C758">
            <w:pPr>
              <w:ind w:firstLine="432" w:firstLineChars="180"/>
              <w:rPr>
                <w:rFonts w:ascii="仿宋_GB2312" w:hAnsi="宋体" w:eastAsia="仿宋_GB2312" w:cs="宋体"/>
                <w:color w:val="auto"/>
                <w:sz w:val="24"/>
                <w:szCs w:val="24"/>
                <w:highlight w:val="none"/>
              </w:rPr>
            </w:pPr>
            <w:r>
              <w:rPr>
                <w:rFonts w:hint="eastAsia" w:ascii="仿宋_GB2312" w:hAnsi="宋体" w:eastAsia="仿宋_GB2312" w:cs="宋体"/>
                <w:color w:val="auto"/>
                <w:sz w:val="24"/>
                <w:szCs w:val="24"/>
                <w:highlight w:val="none"/>
              </w:rPr>
              <w:t>保证金应在信息披露公告截止时间前到达下述济南产权交易服务有限公司指定账户，以到账时间为准。保证金未按时到账的，报名资格无效。</w:t>
            </w:r>
          </w:p>
          <w:p w14:paraId="691B06CE">
            <w:pPr>
              <w:ind w:firstLine="432" w:firstLineChars="180"/>
              <w:rPr>
                <w:rFonts w:ascii="仿宋_GB2312" w:hAnsi="宋体" w:eastAsia="仿宋_GB2312" w:cs="宋体"/>
                <w:color w:val="auto"/>
                <w:sz w:val="24"/>
                <w:szCs w:val="24"/>
                <w:highlight w:val="none"/>
              </w:rPr>
            </w:pPr>
            <w:r>
              <w:rPr>
                <w:rFonts w:hint="eastAsia" w:ascii="仿宋_GB2312" w:hAnsi="宋体" w:eastAsia="仿宋_GB2312" w:cs="宋体"/>
                <w:color w:val="auto"/>
                <w:sz w:val="24"/>
                <w:szCs w:val="24"/>
                <w:highlight w:val="none"/>
              </w:rPr>
              <w:t>户  名：</w:t>
            </w:r>
          </w:p>
          <w:p w14:paraId="7FF5EDE1">
            <w:pPr>
              <w:ind w:firstLine="432" w:firstLineChars="180"/>
              <w:rPr>
                <w:rFonts w:ascii="仿宋_GB2312" w:hAnsi="宋体" w:eastAsia="仿宋_GB2312" w:cs="宋体"/>
                <w:color w:val="auto"/>
                <w:sz w:val="24"/>
                <w:szCs w:val="24"/>
                <w:highlight w:val="none"/>
              </w:rPr>
            </w:pPr>
            <w:r>
              <w:rPr>
                <w:rFonts w:hint="eastAsia" w:ascii="仿宋_GB2312" w:hAnsi="宋体" w:eastAsia="仿宋_GB2312" w:cs="宋体"/>
                <w:color w:val="auto"/>
                <w:sz w:val="24"/>
                <w:szCs w:val="24"/>
                <w:highlight w:val="none"/>
              </w:rPr>
              <w:t>开户行：</w:t>
            </w:r>
          </w:p>
          <w:p w14:paraId="6C375D26">
            <w:pPr>
              <w:ind w:firstLine="432" w:firstLineChars="180"/>
              <w:rPr>
                <w:rFonts w:ascii="仿宋_GB2312" w:hAnsi="宋体" w:eastAsia="仿宋_GB2312"/>
                <w:color w:val="auto"/>
                <w:sz w:val="24"/>
                <w:szCs w:val="24"/>
                <w:highlight w:val="none"/>
              </w:rPr>
            </w:pPr>
            <w:r>
              <w:rPr>
                <w:rFonts w:hint="eastAsia" w:ascii="仿宋_GB2312" w:hAnsi="宋体" w:eastAsia="仿宋_GB2312" w:cs="宋体"/>
                <w:color w:val="auto"/>
                <w:sz w:val="24"/>
                <w:szCs w:val="24"/>
                <w:highlight w:val="none"/>
              </w:rPr>
              <w:t>账  号：</w:t>
            </w:r>
          </w:p>
        </w:tc>
      </w:tr>
      <w:tr w14:paraId="5BB5E9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697" w:hRule="exact"/>
          <w:jc w:val="center"/>
        </w:trPr>
        <w:tc>
          <w:tcPr>
            <w:tcW w:w="869" w:type="dxa"/>
            <w:tcBorders>
              <w:bottom w:val="single" w:color="auto" w:sz="12" w:space="0"/>
            </w:tcBorders>
            <w:vAlign w:val="center"/>
          </w:tcPr>
          <w:p w14:paraId="087D6CFF">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保证金</w:t>
            </w:r>
          </w:p>
          <w:p w14:paraId="3C543619">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处置方式</w:t>
            </w:r>
          </w:p>
        </w:tc>
        <w:tc>
          <w:tcPr>
            <w:tcW w:w="7472" w:type="dxa"/>
            <w:gridSpan w:val="4"/>
            <w:tcBorders>
              <w:bottom w:val="single" w:color="auto" w:sz="12" w:space="0"/>
            </w:tcBorders>
            <w:vAlign w:val="center"/>
          </w:tcPr>
          <w:p w14:paraId="7C4B085F">
            <w:pPr>
              <w:ind w:firstLine="480" w:firstLineChars="200"/>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信息公告期满，如征集到</w:t>
            </w:r>
            <w:r>
              <w:rPr>
                <w:rFonts w:hint="eastAsia" w:ascii="仿宋_GB2312" w:hAnsi="宋体" w:eastAsia="仿宋_GB2312"/>
                <w:color w:val="auto"/>
                <w:sz w:val="24"/>
                <w:szCs w:val="24"/>
                <w:highlight w:val="none"/>
                <w:lang w:val="en-US" w:eastAsia="zh-CN"/>
              </w:rPr>
              <w:t>两个及两个</w:t>
            </w:r>
            <w:r>
              <w:rPr>
                <w:rFonts w:hint="eastAsia" w:ascii="仿宋_GB2312" w:hAnsi="宋体" w:eastAsia="仿宋_GB2312"/>
                <w:color w:val="auto"/>
                <w:sz w:val="24"/>
                <w:szCs w:val="24"/>
                <w:highlight w:val="none"/>
              </w:rPr>
              <w:t>及以上符合条件的意向承租方，将采用</w:t>
            </w:r>
            <w:r>
              <w:rPr>
                <w:rFonts w:hint="eastAsia" w:ascii="仿宋_GB2312" w:hAnsi="宋体" w:eastAsia="仿宋_GB2312"/>
                <w:color w:val="auto"/>
                <w:sz w:val="24"/>
                <w:szCs w:val="24"/>
                <w:highlight w:val="none"/>
                <w:lang w:val="en-US" w:eastAsia="zh-CN"/>
              </w:rPr>
              <w:t>网络竞价</w:t>
            </w:r>
            <w:r>
              <w:rPr>
                <w:rFonts w:hint="eastAsia" w:ascii="仿宋_GB2312" w:hAnsi="宋体" w:eastAsia="仿宋_GB2312"/>
                <w:color w:val="auto"/>
                <w:sz w:val="24"/>
                <w:szCs w:val="24"/>
                <w:highlight w:val="none"/>
              </w:rPr>
              <w:t>的交易方式确定最终承租人。</w:t>
            </w:r>
          </w:p>
          <w:p w14:paraId="58B347E6">
            <w:pPr>
              <w:ind w:firstLine="480" w:firstLineChars="200"/>
              <w:rPr>
                <w:rFonts w:ascii="仿宋_GB2312" w:hAnsi="宋体" w:eastAsia="仿宋_GB2312"/>
                <w:color w:val="auto"/>
                <w:sz w:val="24"/>
                <w:szCs w:val="20"/>
                <w:highlight w:val="none"/>
              </w:rPr>
            </w:pPr>
          </w:p>
        </w:tc>
      </w:tr>
    </w:tbl>
    <w:p w14:paraId="0D053C85">
      <w:pPr>
        <w:jc w:val="left"/>
        <w:rPr>
          <w:rFonts w:ascii="黑体" w:hAnsi="黑体" w:eastAsia="黑体"/>
          <w:bCs/>
          <w:color w:val="auto"/>
          <w:sz w:val="32"/>
          <w:szCs w:val="32"/>
          <w:highlight w:val="none"/>
        </w:rPr>
      </w:pPr>
      <w:r>
        <w:rPr>
          <w:rFonts w:hint="eastAsia" w:ascii="黑体" w:hAnsi="黑体" w:eastAsia="黑体"/>
          <w:bCs/>
          <w:color w:val="auto"/>
          <w:sz w:val="32"/>
          <w:szCs w:val="32"/>
          <w:highlight w:val="none"/>
        </w:rPr>
        <w:t>三、公示及交易方式</w:t>
      </w:r>
    </w:p>
    <w:tbl>
      <w:tblPr>
        <w:tblStyle w:val="9"/>
        <w:tblW w:w="8364"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2"/>
        <w:gridCol w:w="2557"/>
        <w:gridCol w:w="1418"/>
        <w:gridCol w:w="2977"/>
      </w:tblGrid>
      <w:tr w14:paraId="048AB8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61" w:hRule="exact"/>
        </w:trPr>
        <w:tc>
          <w:tcPr>
            <w:tcW w:w="1412" w:type="dxa"/>
            <w:tcBorders>
              <w:bottom w:val="single" w:color="auto" w:sz="8" w:space="0"/>
            </w:tcBorders>
            <w:vAlign w:val="center"/>
          </w:tcPr>
          <w:p w14:paraId="107FF562">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招租方式</w:t>
            </w:r>
          </w:p>
        </w:tc>
        <w:tc>
          <w:tcPr>
            <w:tcW w:w="6952" w:type="dxa"/>
            <w:gridSpan w:val="3"/>
            <w:tcBorders>
              <w:bottom w:val="single" w:color="auto" w:sz="8" w:space="0"/>
            </w:tcBorders>
            <w:shd w:val="clear" w:color="auto" w:fill="auto"/>
            <w:vAlign w:val="center"/>
          </w:tcPr>
          <w:p w14:paraId="64EE5A3E">
            <w:pPr>
              <w:jc w:val="center"/>
              <w:rPr>
                <w:rFonts w:ascii="仿宋_GB2312" w:hAnsi="宋体" w:eastAsia="仿宋_GB2312" w:cstheme="minorBidi"/>
                <w:color w:val="auto"/>
                <w:kern w:val="2"/>
                <w:sz w:val="24"/>
                <w:szCs w:val="22"/>
                <w:highlight w:val="none"/>
                <w:lang w:val="en-US" w:eastAsia="zh-CN" w:bidi="ar-SA"/>
              </w:rPr>
            </w:pPr>
            <w:r>
              <w:rPr>
                <w:rFonts w:hint="eastAsia" w:ascii="仿宋_GB2312" w:hAnsi="宋体" w:eastAsia="仿宋_GB2312"/>
                <w:color w:val="auto"/>
                <w:sz w:val="24"/>
                <w:highlight w:val="none"/>
              </w:rPr>
              <w:t>经济南公共资源交易中心（国有产权）公开招租</w:t>
            </w:r>
          </w:p>
        </w:tc>
      </w:tr>
      <w:tr w14:paraId="17D6DF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36" w:hRule="exact"/>
        </w:trPr>
        <w:tc>
          <w:tcPr>
            <w:tcW w:w="1412" w:type="dxa"/>
            <w:tcBorders>
              <w:top w:val="single" w:color="auto" w:sz="8" w:space="0"/>
            </w:tcBorders>
            <w:vAlign w:val="center"/>
          </w:tcPr>
          <w:p w14:paraId="72DC93E5">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挂牌价格</w:t>
            </w:r>
          </w:p>
        </w:tc>
        <w:tc>
          <w:tcPr>
            <w:tcW w:w="6952" w:type="dxa"/>
            <w:gridSpan w:val="3"/>
            <w:tcBorders>
              <w:top w:val="single" w:color="auto" w:sz="8" w:space="0"/>
            </w:tcBorders>
            <w:shd w:val="clear" w:color="auto" w:fill="auto"/>
            <w:vAlign w:val="center"/>
          </w:tcPr>
          <w:p w14:paraId="29C6BC4A">
            <w:pPr>
              <w:tabs>
                <w:tab w:val="left" w:pos="1014"/>
              </w:tabs>
              <w:jc w:val="center"/>
              <w:rPr>
                <w:rFonts w:hint="default" w:ascii="仿宋_GB2312" w:hAnsi="宋体" w:eastAsia="仿宋_GB2312" w:cstheme="minorBidi"/>
                <w:color w:val="auto"/>
                <w:kern w:val="2"/>
                <w:sz w:val="24"/>
                <w:szCs w:val="22"/>
                <w:highlight w:val="none"/>
                <w:lang w:val="en-US" w:eastAsia="zh-CN" w:bidi="ar-SA"/>
              </w:rPr>
            </w:pPr>
            <w:r>
              <w:rPr>
                <w:rFonts w:hint="eastAsia" w:ascii="仿宋_GB2312" w:hAnsi="宋体" w:eastAsia="仿宋_GB2312"/>
                <w:color w:val="auto"/>
                <w:sz w:val="24"/>
                <w:highlight w:val="none"/>
                <w:lang w:val="en-US" w:eastAsia="zh-CN"/>
              </w:rPr>
              <w:t>473096元/年</w:t>
            </w:r>
          </w:p>
        </w:tc>
      </w:tr>
      <w:tr w14:paraId="390D3A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97" w:hRule="exact"/>
        </w:trPr>
        <w:tc>
          <w:tcPr>
            <w:tcW w:w="1412" w:type="dxa"/>
            <w:tcBorders>
              <w:bottom w:val="single" w:color="auto" w:sz="8" w:space="0"/>
            </w:tcBorders>
            <w:vAlign w:val="center"/>
          </w:tcPr>
          <w:p w14:paraId="4B6C2AEF">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信息披露</w:t>
            </w:r>
          </w:p>
          <w:p w14:paraId="28E39BF8">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公告期</w:t>
            </w:r>
          </w:p>
        </w:tc>
        <w:tc>
          <w:tcPr>
            <w:tcW w:w="6952" w:type="dxa"/>
            <w:gridSpan w:val="3"/>
            <w:tcBorders>
              <w:bottom w:val="single" w:color="auto" w:sz="8" w:space="0"/>
            </w:tcBorders>
            <w:shd w:val="clear" w:color="auto" w:fill="auto"/>
            <w:vAlign w:val="center"/>
          </w:tcPr>
          <w:p w14:paraId="7B25FB1F">
            <w:pPr>
              <w:spacing w:before="60" w:after="60"/>
              <w:jc w:val="center"/>
              <w:rPr>
                <w:rFonts w:ascii="仿宋_GB2312" w:hAnsi="宋体" w:eastAsia="仿宋_GB2312" w:cs="宋体"/>
                <w:color w:val="auto"/>
                <w:kern w:val="0"/>
                <w:sz w:val="24"/>
                <w:szCs w:val="24"/>
                <w:highlight w:val="none"/>
                <w:lang w:val="en-US" w:eastAsia="zh-CN" w:bidi="ar-SA"/>
              </w:rPr>
            </w:pPr>
            <w:r>
              <w:rPr>
                <w:rFonts w:hint="eastAsia" w:ascii="仿宋_GB2312" w:hAnsi="宋体" w:eastAsia="仿宋_GB2312" w:cs="宋体"/>
                <w:color w:val="auto"/>
                <w:kern w:val="0"/>
                <w:sz w:val="24"/>
                <w:szCs w:val="24"/>
                <w:highlight w:val="none"/>
              </w:rPr>
              <w:t>自信息披露之日起</w:t>
            </w:r>
            <w:r>
              <w:rPr>
                <w:rFonts w:hint="eastAsia" w:ascii="仿宋_GB2312" w:hAnsi="宋体" w:eastAsia="仿宋_GB2312" w:cs="宋体"/>
                <w:color w:val="auto"/>
                <w:kern w:val="0"/>
                <w:sz w:val="24"/>
                <w:szCs w:val="24"/>
                <w:highlight w:val="none"/>
                <w:lang w:val="en-US" w:eastAsia="zh-CN"/>
              </w:rPr>
              <w:t>5</w:t>
            </w:r>
            <w:r>
              <w:rPr>
                <w:rFonts w:hint="eastAsia" w:ascii="仿宋_GB2312" w:hAnsi="宋体" w:eastAsia="仿宋_GB2312" w:cs="宋体"/>
                <w:color w:val="auto"/>
                <w:kern w:val="0"/>
                <w:sz w:val="24"/>
                <w:szCs w:val="24"/>
                <w:highlight w:val="none"/>
              </w:rPr>
              <w:t>个工作日。</w:t>
            </w:r>
          </w:p>
        </w:tc>
      </w:tr>
      <w:tr w14:paraId="24F36C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646" w:hRule="exact"/>
        </w:trPr>
        <w:tc>
          <w:tcPr>
            <w:tcW w:w="1412" w:type="dxa"/>
            <w:tcBorders>
              <w:top w:val="single" w:color="auto" w:sz="8" w:space="0"/>
            </w:tcBorders>
            <w:vAlign w:val="center"/>
          </w:tcPr>
          <w:p w14:paraId="4DD6403C">
            <w:pPr>
              <w:spacing w:line="420" w:lineRule="exact"/>
              <w:jc w:val="center"/>
              <w:rPr>
                <w:rFonts w:ascii="仿宋_GB2312" w:hAnsi="宋体" w:eastAsia="仿宋_GB2312"/>
                <w:color w:val="auto"/>
                <w:sz w:val="24"/>
                <w:highlight w:val="none"/>
              </w:rPr>
            </w:pPr>
            <w:r>
              <w:rPr>
                <w:rFonts w:hint="eastAsia" w:ascii="仿宋_GB2312" w:hAnsi="宋体" w:eastAsia="仿宋_GB2312" w:cs="宋体"/>
                <w:b/>
                <w:color w:val="auto"/>
                <w:kern w:val="0"/>
                <w:sz w:val="24"/>
                <w:highlight w:val="none"/>
              </w:rPr>
              <w:t>信息发布期满后，如未征集到意向承租方</w:t>
            </w:r>
          </w:p>
        </w:tc>
        <w:tc>
          <w:tcPr>
            <w:tcW w:w="6952" w:type="dxa"/>
            <w:gridSpan w:val="3"/>
            <w:tcBorders>
              <w:top w:val="single" w:color="auto" w:sz="8" w:space="0"/>
            </w:tcBorders>
            <w:shd w:val="clear" w:color="auto" w:fill="auto"/>
            <w:vAlign w:val="center"/>
          </w:tcPr>
          <w:p w14:paraId="7D1462F5">
            <w:pPr>
              <w:spacing w:before="60" w:after="60" w:line="400" w:lineRule="exact"/>
              <w:ind w:firstLine="480" w:firstLineChars="200"/>
              <w:rPr>
                <w:rFonts w:hint="default" w:ascii="仿宋_GB2312" w:hAnsi="宋体" w:eastAsia="仿宋_GB2312" w:cs="宋体"/>
                <w:color w:val="auto"/>
                <w:kern w:val="0"/>
                <w:sz w:val="24"/>
                <w:szCs w:val="24"/>
                <w:highlight w:val="none"/>
                <w:lang w:val="en-US" w:eastAsia="zh-CN" w:bidi="ar-SA"/>
              </w:rPr>
            </w:pPr>
            <w:r>
              <w:rPr>
                <w:rFonts w:hint="eastAsia" w:ascii="仿宋_GB2312" w:hAnsi="宋体" w:eastAsia="仿宋_GB2312" w:cs="宋体"/>
                <w:color w:val="auto"/>
                <w:kern w:val="0"/>
                <w:sz w:val="24"/>
                <w:szCs w:val="24"/>
                <w:highlight w:val="none"/>
                <w:lang w:val="en-US" w:eastAsia="zh-CN"/>
              </w:rPr>
              <w:t>到期撤牌</w:t>
            </w:r>
          </w:p>
        </w:tc>
      </w:tr>
      <w:tr w14:paraId="46CC18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980" w:hRule="exact"/>
        </w:trPr>
        <w:tc>
          <w:tcPr>
            <w:tcW w:w="1412" w:type="dxa"/>
            <w:vAlign w:val="center"/>
          </w:tcPr>
          <w:p w14:paraId="4F6A3A30">
            <w:pPr>
              <w:spacing w:line="420" w:lineRule="exact"/>
              <w:jc w:val="center"/>
              <w:rPr>
                <w:rFonts w:ascii="仿宋_GB2312" w:hAnsi="宋体" w:eastAsia="仿宋_GB2312" w:cs="宋体"/>
                <w:b/>
                <w:color w:val="auto"/>
                <w:kern w:val="0"/>
                <w:sz w:val="24"/>
                <w:highlight w:val="none"/>
              </w:rPr>
            </w:pPr>
            <w:r>
              <w:rPr>
                <w:rFonts w:hint="eastAsia" w:ascii="仿宋_GB2312" w:hAnsi="宋体" w:eastAsia="仿宋_GB2312"/>
                <w:b/>
                <w:color w:val="auto"/>
                <w:sz w:val="24"/>
                <w:highlight w:val="none"/>
              </w:rPr>
              <w:t>交易方式</w:t>
            </w:r>
          </w:p>
        </w:tc>
        <w:tc>
          <w:tcPr>
            <w:tcW w:w="6952" w:type="dxa"/>
            <w:gridSpan w:val="3"/>
            <w:vAlign w:val="center"/>
          </w:tcPr>
          <w:p w14:paraId="04BD05D8">
            <w:pPr>
              <w:spacing w:before="60" w:after="60" w:line="400" w:lineRule="exact"/>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信息公告期满，如征集到</w:t>
            </w:r>
            <w:r>
              <w:rPr>
                <w:rFonts w:hint="eastAsia" w:ascii="仿宋_GB2312" w:hAnsi="宋体" w:eastAsia="仿宋_GB2312" w:cs="宋体"/>
                <w:color w:val="auto"/>
                <w:kern w:val="0"/>
                <w:sz w:val="24"/>
                <w:szCs w:val="24"/>
                <w:highlight w:val="none"/>
                <w:lang w:val="en-US" w:eastAsia="zh-CN"/>
              </w:rPr>
              <w:t>两及两</w:t>
            </w:r>
            <w:r>
              <w:rPr>
                <w:rFonts w:hint="eastAsia" w:ascii="仿宋_GB2312" w:hAnsi="宋体" w:eastAsia="仿宋_GB2312" w:cs="宋体"/>
                <w:color w:val="auto"/>
                <w:kern w:val="0"/>
                <w:sz w:val="24"/>
                <w:szCs w:val="24"/>
                <w:highlight w:val="none"/>
              </w:rPr>
              <w:t>个及以上符合条件的意向承租方，将采用</w:t>
            </w:r>
            <w:r>
              <w:rPr>
                <w:rFonts w:hint="eastAsia" w:ascii="仿宋_GB2312" w:hAnsi="宋体" w:eastAsia="仿宋_GB2312" w:cs="宋体"/>
                <w:color w:val="auto"/>
                <w:kern w:val="0"/>
                <w:sz w:val="24"/>
                <w:szCs w:val="24"/>
                <w:highlight w:val="none"/>
                <w:u w:val="single" w:color="000000" w:themeColor="text1"/>
                <w:lang w:val="en-US" w:eastAsia="zh-CN"/>
              </w:rPr>
              <w:t>网络竞价</w:t>
            </w:r>
            <w:r>
              <w:rPr>
                <w:rFonts w:hint="eastAsia" w:ascii="仿宋_GB2312" w:hAnsi="宋体" w:eastAsia="仿宋_GB2312" w:cs="宋体"/>
                <w:color w:val="auto"/>
                <w:kern w:val="0"/>
                <w:sz w:val="24"/>
                <w:szCs w:val="24"/>
                <w:highlight w:val="none"/>
              </w:rPr>
              <w:t>的交易方式确定最终承租人。</w:t>
            </w:r>
          </w:p>
          <w:p w14:paraId="41563567">
            <w:pPr>
              <w:spacing w:before="60" w:after="60" w:line="400" w:lineRule="exact"/>
              <w:ind w:firstLine="480" w:firstLineChars="200"/>
              <w:rPr>
                <w:rFonts w:ascii="仿宋_GB2312" w:hAnsi="宋体" w:eastAsia="仿宋_GB2312" w:cs="宋体"/>
                <w:color w:val="auto"/>
                <w:kern w:val="0"/>
                <w:sz w:val="24"/>
                <w:szCs w:val="24"/>
                <w:highlight w:val="none"/>
              </w:rPr>
            </w:pPr>
          </w:p>
        </w:tc>
      </w:tr>
      <w:tr w14:paraId="63157B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802" w:hRule="atLeast"/>
        </w:trPr>
        <w:tc>
          <w:tcPr>
            <w:tcW w:w="1412" w:type="dxa"/>
            <w:tcBorders>
              <w:top w:val="single" w:color="auto" w:sz="8" w:space="0"/>
            </w:tcBorders>
            <w:vAlign w:val="center"/>
          </w:tcPr>
          <w:p w14:paraId="74E3CB3C">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出租方</w:t>
            </w:r>
          </w:p>
          <w:p w14:paraId="7F995957">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收款</w:t>
            </w:r>
          </w:p>
          <w:p w14:paraId="5248BC4C">
            <w:pPr>
              <w:jc w:val="center"/>
              <w:rPr>
                <w:rFonts w:ascii="仿宋_GB2312" w:hAnsi="宋体" w:eastAsia="仿宋_GB2312" w:cs="宋体"/>
                <w:b/>
                <w:color w:val="auto"/>
                <w:kern w:val="0"/>
                <w:sz w:val="24"/>
                <w:highlight w:val="none"/>
              </w:rPr>
            </w:pPr>
            <w:r>
              <w:rPr>
                <w:rFonts w:hint="eastAsia" w:ascii="仿宋_GB2312" w:hAnsi="宋体" w:eastAsia="仿宋_GB2312"/>
                <w:b/>
                <w:color w:val="auto"/>
                <w:sz w:val="24"/>
                <w:highlight w:val="none"/>
              </w:rPr>
              <w:t>账户信息</w:t>
            </w:r>
          </w:p>
        </w:tc>
        <w:tc>
          <w:tcPr>
            <w:tcW w:w="6952" w:type="dxa"/>
            <w:gridSpan w:val="3"/>
            <w:tcBorders>
              <w:top w:val="single" w:color="auto" w:sz="4" w:space="0"/>
            </w:tcBorders>
            <w:vAlign w:val="center"/>
          </w:tcPr>
          <w:p w14:paraId="47EE76C5">
            <w:pPr>
              <w:spacing w:before="60" w:after="60" w:line="400" w:lineRule="exact"/>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（合同签订并在交易公司备案后首期租金将按此账号转给出租方。）</w:t>
            </w:r>
          </w:p>
          <w:p w14:paraId="5BFB9FD0">
            <w:pPr>
              <w:spacing w:before="60" w:after="60" w:line="400" w:lineRule="exact"/>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户  名：济南野生动物世界有限公司</w:t>
            </w:r>
          </w:p>
          <w:p w14:paraId="2EBEA69D">
            <w:pPr>
              <w:spacing w:before="60" w:after="60" w:line="400" w:lineRule="exact"/>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开户行：招商银行章丘支行</w:t>
            </w:r>
          </w:p>
          <w:p w14:paraId="5F43C8B3">
            <w:pPr>
              <w:spacing w:before="60" w:after="60" w:line="400" w:lineRule="exact"/>
              <w:ind w:firstLine="480" w:firstLineChars="200"/>
              <w:rPr>
                <w:rFonts w:hint="eastAsia"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账  号：531906124310801</w:t>
            </w:r>
          </w:p>
        </w:tc>
      </w:tr>
      <w:tr w14:paraId="08D7F4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628" w:hRule="exact"/>
        </w:trPr>
        <w:tc>
          <w:tcPr>
            <w:tcW w:w="1412" w:type="dxa"/>
            <w:tcBorders>
              <w:top w:val="single" w:color="auto" w:sz="8" w:space="0"/>
            </w:tcBorders>
            <w:vAlign w:val="center"/>
          </w:tcPr>
          <w:p w14:paraId="730109BE">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备 注</w:t>
            </w:r>
          </w:p>
        </w:tc>
        <w:tc>
          <w:tcPr>
            <w:tcW w:w="6952" w:type="dxa"/>
            <w:gridSpan w:val="3"/>
            <w:tcBorders>
              <w:top w:val="single" w:color="auto" w:sz="8" w:space="0"/>
            </w:tcBorders>
            <w:vAlign w:val="center"/>
          </w:tcPr>
          <w:p w14:paraId="248699FC">
            <w:pPr>
              <w:spacing w:before="60" w:after="60" w:line="400" w:lineRule="exact"/>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1、意向承租方报名前，请详细阅读本项目公告内容及本项目《实物资产租赁合同》，并联系出租单位至出租实物资产现场看样，实物资产实际情况以现场看样为准。</w:t>
            </w:r>
          </w:p>
          <w:p w14:paraId="5FED66C6">
            <w:pPr>
              <w:spacing w:before="60" w:after="60" w:line="400" w:lineRule="exact"/>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2、保证金应在信息披露公告截止时间前到达济南产权交易服务有限公司指定账户，以到账时间为准。并在挂牌截止日前至济南产权交易服务有限公司提交承租报名材料。</w:t>
            </w:r>
          </w:p>
          <w:p w14:paraId="69C18F41">
            <w:pPr>
              <w:spacing w:before="60" w:after="60" w:line="400" w:lineRule="exact"/>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3、确定承租方经公示无异议后，签订出租合同，办结交易价款及出具成交确认书，出租方在一个月内负责对承租方交付出租实物资产。</w:t>
            </w:r>
          </w:p>
          <w:p w14:paraId="7A130DFA">
            <w:pPr>
              <w:spacing w:before="60" w:after="60" w:line="400" w:lineRule="exact"/>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4、本项目公告期即为尽职调查期，意向承租方通过资格确认后（或递交保证金后），即视为其已完成对标的的全部尽职调查，完全认可本次挂牌所涉评估价值等全部披露内容，已充分了解并自愿完全接受本次挂牌公告内容及标的现状及瑕疵，自愿全面履行交易程序。</w:t>
            </w:r>
          </w:p>
        </w:tc>
      </w:tr>
      <w:tr w14:paraId="24802A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07" w:hRule="exact"/>
        </w:trPr>
        <w:tc>
          <w:tcPr>
            <w:tcW w:w="1412" w:type="dxa"/>
            <w:vAlign w:val="center"/>
          </w:tcPr>
          <w:p w14:paraId="29716C74">
            <w:pPr>
              <w:jc w:val="center"/>
              <w:rPr>
                <w:rFonts w:ascii="仿宋_GB2312" w:eastAsia="仿宋_GB2312"/>
                <w:b/>
                <w:color w:val="auto"/>
                <w:sz w:val="24"/>
                <w:szCs w:val="24"/>
                <w:highlight w:val="none"/>
              </w:rPr>
            </w:pPr>
            <w:r>
              <w:rPr>
                <w:rFonts w:hint="eastAsia" w:ascii="仿宋_GB2312" w:eastAsia="仿宋_GB2312"/>
                <w:b/>
                <w:color w:val="auto"/>
                <w:sz w:val="24"/>
                <w:szCs w:val="24"/>
                <w:highlight w:val="none"/>
              </w:rPr>
              <w:t>交易平台</w:t>
            </w:r>
          </w:p>
          <w:p w14:paraId="4FCE1812">
            <w:pPr>
              <w:jc w:val="center"/>
              <w:rPr>
                <w:rFonts w:ascii="仿宋_GB2312" w:hAnsi="宋体" w:eastAsia="仿宋_GB2312"/>
                <w:b/>
                <w:color w:val="auto"/>
                <w:sz w:val="24"/>
                <w:highlight w:val="none"/>
              </w:rPr>
            </w:pPr>
            <w:r>
              <w:rPr>
                <w:rFonts w:hint="eastAsia" w:ascii="仿宋_GB2312" w:eastAsia="仿宋_GB2312"/>
                <w:b/>
                <w:color w:val="auto"/>
                <w:sz w:val="24"/>
                <w:szCs w:val="24"/>
                <w:highlight w:val="none"/>
              </w:rPr>
              <w:t>联 系 人</w:t>
            </w:r>
          </w:p>
        </w:tc>
        <w:tc>
          <w:tcPr>
            <w:tcW w:w="2557" w:type="dxa"/>
            <w:vAlign w:val="center"/>
          </w:tcPr>
          <w:p w14:paraId="3581AF07">
            <w:pPr>
              <w:spacing w:before="60" w:after="60" w:line="400" w:lineRule="exact"/>
              <w:jc w:val="center"/>
              <w:rPr>
                <w:rFonts w:ascii="仿宋_GB2312" w:hAnsi="宋体" w:eastAsia="仿宋_GB2312" w:cs="宋体"/>
                <w:b/>
                <w:color w:val="auto"/>
                <w:kern w:val="0"/>
                <w:sz w:val="24"/>
                <w:szCs w:val="24"/>
                <w:highlight w:val="none"/>
              </w:rPr>
            </w:pPr>
          </w:p>
        </w:tc>
        <w:tc>
          <w:tcPr>
            <w:tcW w:w="1418" w:type="dxa"/>
            <w:vAlign w:val="center"/>
          </w:tcPr>
          <w:p w14:paraId="3A7EC34E">
            <w:pPr>
              <w:spacing w:before="60" w:after="60" w:line="400" w:lineRule="exact"/>
              <w:jc w:val="center"/>
              <w:rPr>
                <w:rFonts w:ascii="仿宋_GB2312" w:hAnsi="宋体" w:eastAsia="仿宋_GB2312" w:cs="宋体"/>
                <w:b/>
                <w:color w:val="auto"/>
                <w:kern w:val="0"/>
                <w:sz w:val="24"/>
                <w:szCs w:val="24"/>
                <w:highlight w:val="none"/>
              </w:rPr>
            </w:pPr>
            <w:r>
              <w:rPr>
                <w:rFonts w:hint="eastAsia" w:ascii="仿宋_GB2312" w:hAnsi="宋体" w:eastAsia="仿宋_GB2312" w:cs="宋体"/>
                <w:b/>
                <w:color w:val="auto"/>
                <w:kern w:val="0"/>
                <w:sz w:val="24"/>
                <w:szCs w:val="24"/>
                <w:highlight w:val="none"/>
              </w:rPr>
              <w:t>联系电话</w:t>
            </w:r>
          </w:p>
        </w:tc>
        <w:tc>
          <w:tcPr>
            <w:tcW w:w="2977" w:type="dxa"/>
            <w:vAlign w:val="center"/>
          </w:tcPr>
          <w:p w14:paraId="564D10DC">
            <w:pPr>
              <w:spacing w:before="60" w:after="60" w:line="400" w:lineRule="exact"/>
              <w:jc w:val="center"/>
              <w:rPr>
                <w:rFonts w:ascii="仿宋_GB2312" w:hAnsi="宋体" w:eastAsia="仿宋_GB2312" w:cs="宋体"/>
                <w:color w:val="auto"/>
                <w:kern w:val="0"/>
                <w:sz w:val="24"/>
                <w:szCs w:val="24"/>
                <w:highlight w:val="none"/>
              </w:rPr>
            </w:pPr>
          </w:p>
        </w:tc>
      </w:tr>
    </w:tbl>
    <w:p w14:paraId="5F0D8130">
      <w:pPr>
        <w:jc w:val="center"/>
        <w:rPr>
          <w:rFonts w:hint="eastAsia" w:ascii="宋体" w:hAnsi="宋体"/>
          <w:b/>
          <w:bCs/>
          <w:color w:val="auto"/>
          <w:sz w:val="44"/>
          <w:szCs w:val="44"/>
          <w:highlight w:val="none"/>
        </w:rPr>
      </w:pPr>
      <w:r>
        <w:rPr>
          <w:rFonts w:hint="eastAsia" w:ascii="宋体" w:hAnsi="宋体"/>
          <w:b/>
          <w:bCs/>
          <w:color w:val="auto"/>
          <w:sz w:val="44"/>
          <w:szCs w:val="44"/>
          <w:highlight w:val="none"/>
          <w:lang w:val="en-US" w:eastAsia="zh-CN"/>
        </w:rPr>
        <w:t xml:space="preserve"> </w:t>
      </w:r>
    </w:p>
    <w:p w14:paraId="1AE09419">
      <w:pPr>
        <w:jc w:val="center"/>
        <w:rPr>
          <w:rFonts w:ascii="宋体" w:hAnsi="宋体"/>
          <w:b/>
          <w:bCs/>
          <w:color w:val="auto"/>
          <w:sz w:val="44"/>
          <w:szCs w:val="44"/>
          <w:highlight w:val="none"/>
        </w:rPr>
      </w:pPr>
      <w:r>
        <w:rPr>
          <w:rFonts w:hint="eastAsia" w:ascii="宋体" w:hAnsi="宋体"/>
          <w:b/>
          <w:bCs/>
          <w:color w:val="auto"/>
          <w:sz w:val="44"/>
          <w:szCs w:val="44"/>
          <w:highlight w:val="none"/>
        </w:rPr>
        <w:t>授权委托书</w:t>
      </w:r>
    </w:p>
    <w:p w14:paraId="522DE861">
      <w:pPr>
        <w:ind w:firstLine="640" w:firstLineChars="200"/>
        <w:rPr>
          <w:rFonts w:ascii="仿宋_GB2312" w:eastAsia="仿宋_GB2312"/>
          <w:color w:val="auto"/>
          <w:sz w:val="32"/>
          <w:szCs w:val="32"/>
          <w:highlight w:val="none"/>
        </w:rPr>
      </w:pPr>
    </w:p>
    <w:p w14:paraId="0E89F197">
      <w:pPr>
        <w:ind w:firstLine="640" w:firstLineChars="200"/>
        <w:rPr>
          <w:rFonts w:ascii="仿宋_GB2312" w:eastAsia="仿宋_GB2312"/>
          <w:color w:val="auto"/>
          <w:sz w:val="32"/>
          <w:szCs w:val="32"/>
          <w:highlight w:val="none"/>
          <w:u w:val="single"/>
        </w:rPr>
      </w:pPr>
      <w:r>
        <w:rPr>
          <w:rFonts w:hint="eastAsia" w:ascii="仿宋_GB2312" w:eastAsia="仿宋_GB2312"/>
          <w:color w:val="auto"/>
          <w:sz w:val="32"/>
          <w:szCs w:val="32"/>
          <w:highlight w:val="none"/>
        </w:rPr>
        <w:t>经本单位同意，委托</w:t>
      </w:r>
      <w:r>
        <w:rPr>
          <w:rFonts w:hint="eastAsia" w:ascii="仿宋_GB2312" w:eastAsia="仿宋_GB2312"/>
          <w:color w:val="auto"/>
          <w:sz w:val="32"/>
          <w:szCs w:val="32"/>
          <w:highlight w:val="none"/>
          <w:u w:val="single"/>
        </w:rPr>
        <w:t xml:space="preserve"> </w:t>
      </w:r>
      <w:r>
        <w:rPr>
          <w:rFonts w:hint="eastAsia" w:ascii="仿宋_GB2312" w:eastAsia="仿宋_GB2312"/>
          <w:color w:val="auto"/>
          <w:sz w:val="32"/>
          <w:szCs w:val="32"/>
          <w:highlight w:val="none"/>
          <w:u w:val="single" w:color="000000" w:themeColor="text1"/>
          <w:lang w:val="en-US" w:eastAsia="zh-CN"/>
        </w:rPr>
        <w:t>鞠旭光</w:t>
      </w:r>
      <w:r>
        <w:rPr>
          <w:rFonts w:hint="eastAsia" w:ascii="仿宋_GB2312" w:eastAsia="仿宋_GB2312"/>
          <w:color w:val="auto"/>
          <w:sz w:val="32"/>
          <w:szCs w:val="32"/>
          <w:highlight w:val="none"/>
          <w:u w:val="single" w:color="000000" w:themeColor="text1"/>
        </w:rPr>
        <w:t>（</w:t>
      </w:r>
      <w:r>
        <w:rPr>
          <w:rFonts w:hint="eastAsia" w:ascii="仿宋_GB2312" w:eastAsia="仿宋_GB2312"/>
          <w:color w:val="auto"/>
          <w:sz w:val="32"/>
          <w:szCs w:val="32"/>
          <w:highlight w:val="none"/>
          <w:u w:val="single" w:color="000000" w:themeColor="text1"/>
          <w:lang w:val="en-US" w:eastAsia="zh-CN"/>
        </w:rPr>
        <w:t>370683198708289211</w:t>
      </w:r>
      <w:r>
        <w:rPr>
          <w:rFonts w:hint="eastAsia" w:ascii="仿宋_GB2312" w:eastAsia="仿宋_GB2312"/>
          <w:color w:val="auto"/>
          <w:sz w:val="32"/>
          <w:szCs w:val="32"/>
          <w:highlight w:val="none"/>
          <w:u w:val="single" w:color="000000" w:themeColor="text1"/>
        </w:rPr>
        <w:t>）</w:t>
      </w:r>
      <w:r>
        <w:rPr>
          <w:rFonts w:hint="eastAsia" w:ascii="仿宋_GB2312" w:eastAsia="仿宋_GB2312"/>
          <w:color w:val="auto"/>
          <w:sz w:val="32"/>
          <w:szCs w:val="32"/>
          <w:highlight w:val="none"/>
        </w:rPr>
        <w:t>全权办理</w:t>
      </w:r>
      <w:r>
        <w:rPr>
          <w:rFonts w:hint="eastAsia" w:ascii="仿宋_GB2312" w:eastAsia="仿宋_GB2312"/>
          <w:color w:val="auto"/>
          <w:sz w:val="32"/>
          <w:szCs w:val="32"/>
          <w:highlight w:val="none"/>
          <w:u w:val="single"/>
        </w:rPr>
        <w:t xml:space="preserve">  济南野生动物世界自驾游部分土地1年使用权</w:t>
      </w:r>
      <w:r>
        <w:rPr>
          <w:rFonts w:hint="eastAsia" w:ascii="仿宋_GB2312" w:eastAsia="仿宋_GB2312"/>
          <w:color w:val="auto"/>
          <w:sz w:val="32"/>
          <w:szCs w:val="32"/>
          <w:highlight w:val="none"/>
          <w:u w:val="single"/>
          <w:lang w:val="en-US" w:eastAsia="zh-CN"/>
        </w:rPr>
        <w:t xml:space="preserve">  </w:t>
      </w:r>
      <w:r>
        <w:rPr>
          <w:rFonts w:hint="eastAsia" w:ascii="仿宋_GB2312" w:eastAsia="仿宋_GB2312"/>
          <w:color w:val="auto"/>
          <w:sz w:val="32"/>
          <w:szCs w:val="32"/>
          <w:highlight w:val="none"/>
        </w:rPr>
        <w:t>挂牌交易的一切事宜。受托人在委托权限内所从事的民事行为，本单位均予承认。</w:t>
      </w:r>
    </w:p>
    <w:p w14:paraId="27A1E266">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委托期限</w:t>
      </w:r>
      <w:r>
        <w:rPr>
          <w:rFonts w:hint="eastAsia" w:ascii="仿宋_GB2312" w:eastAsia="仿宋_GB2312"/>
          <w:color w:val="auto"/>
          <w:sz w:val="32"/>
          <w:szCs w:val="32"/>
          <w:highlight w:val="none"/>
          <w:u w:val="single"/>
        </w:rPr>
        <w:t xml:space="preserve"> </w:t>
      </w:r>
      <w:r>
        <w:rPr>
          <w:rFonts w:hint="eastAsia" w:ascii="仿宋_GB2312" w:eastAsia="仿宋_GB2312"/>
          <w:color w:val="auto"/>
          <w:sz w:val="32"/>
          <w:szCs w:val="32"/>
          <w:highlight w:val="none"/>
          <w:u w:val="single"/>
          <w:lang w:val="en-US" w:eastAsia="zh-CN"/>
        </w:rPr>
        <w:t>2025</w:t>
      </w:r>
      <w:r>
        <w:rPr>
          <w:rFonts w:hint="eastAsia" w:ascii="仿宋_GB2312" w:eastAsia="仿宋_GB2312"/>
          <w:color w:val="auto"/>
          <w:sz w:val="32"/>
          <w:szCs w:val="32"/>
          <w:highlight w:val="none"/>
          <w:u w:val="single"/>
        </w:rPr>
        <w:t xml:space="preserve"> </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u w:val="single"/>
        </w:rPr>
        <w:t xml:space="preserve"> </w:t>
      </w:r>
      <w:r>
        <w:rPr>
          <w:rFonts w:hint="eastAsia" w:ascii="仿宋_GB2312" w:eastAsia="仿宋_GB2312"/>
          <w:color w:val="auto"/>
          <w:sz w:val="32"/>
          <w:szCs w:val="32"/>
          <w:highlight w:val="none"/>
          <w:u w:val="single"/>
          <w:lang w:val="en-US" w:eastAsia="zh-CN"/>
        </w:rPr>
        <w:t>11</w:t>
      </w:r>
      <w:r>
        <w:rPr>
          <w:rFonts w:hint="eastAsia" w:ascii="仿宋_GB2312" w:eastAsia="仿宋_GB2312"/>
          <w:color w:val="auto"/>
          <w:sz w:val="32"/>
          <w:szCs w:val="32"/>
          <w:highlight w:val="none"/>
          <w:u w:val="single"/>
        </w:rPr>
        <w:t xml:space="preserve"> </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u w:val="single"/>
        </w:rPr>
        <w:t xml:space="preserve"> </w:t>
      </w:r>
      <w:r>
        <w:rPr>
          <w:rFonts w:hint="eastAsia" w:ascii="仿宋_GB2312" w:eastAsia="仿宋_GB2312"/>
          <w:color w:val="auto"/>
          <w:sz w:val="32"/>
          <w:szCs w:val="32"/>
          <w:highlight w:val="none"/>
          <w:u w:val="single"/>
          <w:lang w:val="en-US" w:eastAsia="zh-CN"/>
        </w:rPr>
        <w:t>20</w:t>
      </w:r>
      <w:r>
        <w:rPr>
          <w:rFonts w:hint="eastAsia" w:ascii="仿宋_GB2312" w:eastAsia="仿宋_GB2312"/>
          <w:color w:val="auto"/>
          <w:sz w:val="32"/>
          <w:szCs w:val="32"/>
          <w:highlight w:val="none"/>
          <w:u w:val="single"/>
        </w:rPr>
        <w:t xml:space="preserve"> </w:t>
      </w:r>
      <w:r>
        <w:rPr>
          <w:rFonts w:hint="eastAsia" w:ascii="仿宋_GB2312" w:eastAsia="仿宋_GB2312"/>
          <w:color w:val="auto"/>
          <w:sz w:val="32"/>
          <w:szCs w:val="32"/>
          <w:highlight w:val="none"/>
        </w:rPr>
        <w:t>日起至办理结束止。</w:t>
      </w:r>
    </w:p>
    <w:p w14:paraId="137CA268">
      <w:pPr>
        <w:ind w:firstLine="640" w:firstLineChars="200"/>
        <w:rPr>
          <w:rFonts w:ascii="仿宋_GB2312" w:eastAsia="仿宋_GB2312"/>
          <w:color w:val="auto"/>
          <w:sz w:val="32"/>
          <w:szCs w:val="32"/>
          <w:highlight w:val="none"/>
        </w:rPr>
      </w:pPr>
    </w:p>
    <w:p w14:paraId="07AD802A">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 xml:space="preserve">                    委托单位：（盖章）</w:t>
      </w:r>
    </w:p>
    <w:p w14:paraId="0F718669">
      <w:pPr>
        <w:ind w:firstLine="640" w:firstLineChars="200"/>
        <w:rPr>
          <w:rFonts w:ascii="仿宋_GB2312" w:eastAsia="仿宋_GB2312"/>
          <w:color w:val="auto"/>
          <w:sz w:val="32"/>
          <w:szCs w:val="32"/>
          <w:highlight w:val="none"/>
        </w:rPr>
      </w:pPr>
    </w:p>
    <w:p w14:paraId="72FF5AF1">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 xml:space="preserve">                    法人代表：（盖章）</w:t>
      </w:r>
    </w:p>
    <w:p w14:paraId="7870164C">
      <w:pPr>
        <w:ind w:firstLine="640" w:firstLineChars="200"/>
        <w:rPr>
          <w:rFonts w:ascii="仿宋_GB2312" w:eastAsia="仿宋_GB2312"/>
          <w:color w:val="auto"/>
          <w:sz w:val="32"/>
          <w:szCs w:val="32"/>
          <w:highlight w:val="none"/>
        </w:rPr>
      </w:pPr>
    </w:p>
    <w:p w14:paraId="5FE17625">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 xml:space="preserve">                    受 托 人：</w:t>
      </w:r>
    </w:p>
    <w:p w14:paraId="452E3904">
      <w:pPr>
        <w:ind w:firstLine="160" w:firstLineChars="50"/>
        <w:jc w:val="right"/>
        <w:rPr>
          <w:rFonts w:ascii="仿宋_GB2312" w:eastAsia="仿宋_GB2312"/>
          <w:color w:val="auto"/>
          <w:sz w:val="32"/>
          <w:szCs w:val="32"/>
          <w:highlight w:val="none"/>
        </w:rPr>
      </w:pPr>
      <w:r>
        <w:rPr>
          <w:rFonts w:hint="eastAsia" w:ascii="仿宋_GB2312" w:eastAsia="仿宋_GB2312"/>
          <w:color w:val="auto"/>
          <w:sz w:val="32"/>
          <w:szCs w:val="32"/>
          <w:highlight w:val="none"/>
        </w:rPr>
        <w:t>年    月    日</w:t>
      </w:r>
    </w:p>
    <w:p w14:paraId="0DE57CFA">
      <w:pPr>
        <w:rPr>
          <w:rFonts w:ascii="仿宋_GB2312" w:eastAsia="仿宋_GB2312"/>
          <w:color w:val="auto"/>
          <w:sz w:val="32"/>
          <w:szCs w:val="32"/>
          <w:highlight w:val="none"/>
        </w:rPr>
      </w:pPr>
      <w:r>
        <w:rPr>
          <w:rFonts w:ascii="仿宋_GB2312" w:eastAsia="仿宋_GB2312"/>
          <w:color w:val="auto"/>
          <w:sz w:val="32"/>
          <w:szCs w:val="32"/>
          <w:highlight w:val="none"/>
        </w:rPr>
        <mc:AlternateContent>
          <mc:Choice Requires="wps">
            <w:drawing>
              <wp:anchor distT="0" distB="0" distL="114300" distR="114300" simplePos="0" relativeHeight="251659264" behindDoc="0" locked="0" layoutInCell="1" allowOverlap="1">
                <wp:simplePos x="0" y="0"/>
                <wp:positionH relativeFrom="column">
                  <wp:posOffset>257810</wp:posOffset>
                </wp:positionH>
                <wp:positionV relativeFrom="paragraph">
                  <wp:posOffset>106680</wp:posOffset>
                </wp:positionV>
                <wp:extent cx="5009515" cy="1941195"/>
                <wp:effectExtent l="9525" t="9525" r="10160" b="11430"/>
                <wp:wrapNone/>
                <wp:docPr id="2" name="矩形 1"/>
                <wp:cNvGraphicFramePr/>
                <a:graphic xmlns:a="http://schemas.openxmlformats.org/drawingml/2006/main">
                  <a:graphicData uri="http://schemas.microsoft.com/office/word/2010/wordprocessingShape">
                    <wps:wsp>
                      <wps:cNvSpPr/>
                      <wps:spPr>
                        <a:xfrm>
                          <a:off x="0" y="0"/>
                          <a:ext cx="5009515" cy="1941195"/>
                        </a:xfrm>
                        <a:prstGeom prst="rect">
                          <a:avLst/>
                        </a:prstGeom>
                        <a:ln w="19050">
                          <a:solidFill>
                            <a:schemeClr val="tx1"/>
                          </a:solidFill>
                          <a:prstDash val="sysDot"/>
                        </a:ln>
                      </wps:spPr>
                      <wps:style>
                        <a:lnRef idx="2">
                          <a:schemeClr val="accent6"/>
                        </a:lnRef>
                        <a:fillRef idx="1">
                          <a:schemeClr val="lt1"/>
                        </a:fillRef>
                        <a:effectRef idx="0">
                          <a:schemeClr val="accent6"/>
                        </a:effectRef>
                        <a:fontRef idx="minor">
                          <a:schemeClr val="dk1"/>
                        </a:fontRef>
                      </wps:style>
                      <wps:txbx>
                        <w:txbxContent>
                          <w:p w14:paraId="271DA08E">
                            <w:pPr>
                              <w:jc w:val="distribute"/>
                              <w:rPr>
                                <w:rFonts w:hint="eastAsia" w:eastAsiaTheme="minorEastAsia"/>
                                <w:lang w:eastAsia="zh-CN"/>
                              </w:rPr>
                            </w:pPr>
                            <w:r>
                              <w:rPr>
                                <w:rFonts w:hint="eastAsia" w:eastAsiaTheme="minorEastAsia"/>
                                <w:lang w:eastAsia="zh-CN"/>
                              </w:rPr>
                              <w:drawing>
                                <wp:inline distT="0" distB="0" distL="114300" distR="114300">
                                  <wp:extent cx="1497330" cy="2376170"/>
                                  <wp:effectExtent l="0" t="0" r="5080" b="7620"/>
                                  <wp:docPr id="4" name="图片 4" descr="4eb4c6cfa90a3b8c9950a070ab6fbe16"/>
                                  <wp:cNvGraphicFramePr/>
                                  <a:graphic xmlns:a="http://schemas.openxmlformats.org/drawingml/2006/main">
                                    <a:graphicData uri="http://schemas.openxmlformats.org/drawingml/2006/picture">
                                      <pic:pic xmlns:pic="http://schemas.openxmlformats.org/drawingml/2006/picture">
                                        <pic:nvPicPr>
                                          <pic:cNvPr id="4" name="图片 4" descr="4eb4c6cfa90a3b8c9950a070ab6fbe16"/>
                                          <pic:cNvPicPr/>
                                        </pic:nvPicPr>
                                        <pic:blipFill>
                                          <a:blip r:embed="rId8"/>
                                          <a:srcRect l="16293" t="21333" r="28388" b="16240"/>
                                          <a:stretch>
                                            <a:fillRect/>
                                          </a:stretch>
                                        </pic:blipFill>
                                        <pic:spPr>
                                          <a:xfrm rot="16200000">
                                            <a:off x="0" y="0"/>
                                            <a:ext cx="1497330" cy="2376170"/>
                                          </a:xfrm>
                                          <a:prstGeom prst="rect">
                                            <a:avLst/>
                                          </a:prstGeom>
                                        </pic:spPr>
                                      </pic:pic>
                                    </a:graphicData>
                                  </a:graphic>
                                </wp:inline>
                              </w:drawing>
                            </w:r>
                            <w:r>
                              <w:rPr>
                                <w:rFonts w:hint="eastAsia" w:eastAsiaTheme="minorEastAsia"/>
                                <w:lang w:eastAsia="zh-CN"/>
                              </w:rPr>
                              <w:drawing>
                                <wp:inline distT="0" distB="0" distL="114300" distR="114300">
                                  <wp:extent cx="2349500" cy="1497330"/>
                                  <wp:effectExtent l="0" t="0" r="12700" b="7620"/>
                                  <wp:docPr id="6" name="图片 6" descr="e47ec257299217a24ed80fb9f7bddf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e47ec257299217a24ed80fb9f7bddf94"/>
                                          <pic:cNvPicPr>
                                            <a:picLocks noChangeAspect="1"/>
                                          </pic:cNvPicPr>
                                        </pic:nvPicPr>
                                        <pic:blipFill>
                                          <a:blip r:embed="rId9"/>
                                          <a:srcRect l="15044" t="14434" r="16246" b="27241"/>
                                          <a:stretch>
                                            <a:fillRect/>
                                          </a:stretch>
                                        </pic:blipFill>
                                        <pic:spPr>
                                          <a:xfrm rot="10800000">
                                            <a:off x="0" y="0"/>
                                            <a:ext cx="2349500" cy="149733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 o:spid="_x0000_s1026" o:spt="1" style="position:absolute;left:0pt;margin-left:20.3pt;margin-top:8.4pt;height:152.85pt;width:394.45pt;z-index:251659264;v-text-anchor:middle;mso-width-relative:page;mso-height-relative:page;" fillcolor="#FFFFFF [3201]" filled="t" stroked="t" coordsize="21600,21600" o:gfxdata="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AThiOdcAAAAJAQAADwAAAAAAAAABACAAAAAiAAAAZHJzL2Rvd25yZXYueG1s&#10;UEsBAhQAFAAAAAgAh07iQOCeJNdrAgAA6gQAAA4AAAAAAAAAAQAgAAAAJgEAAGRycy9lMm9Eb2Mu&#10;eG1sUEsFBgAAAAAGAAYAWQEAAAMGAAAAAA==&#10;">
                <v:fill on="t" focussize="0,0"/>
                <v:stroke weight="1.5pt" color="#000000 [3213]" joinstyle="round" dashstyle="1 1"/>
                <v:imagedata o:title=""/>
                <o:lock v:ext="edit" aspectratio="f"/>
                <v:textbox>
                  <w:txbxContent>
                    <w:p w14:paraId="271DA08E">
                      <w:pPr>
                        <w:jc w:val="distribute"/>
                        <w:rPr>
                          <w:rFonts w:hint="eastAsia" w:eastAsiaTheme="minorEastAsia"/>
                          <w:lang w:eastAsia="zh-CN"/>
                        </w:rPr>
                      </w:pPr>
                      <w:r>
                        <w:rPr>
                          <w:rFonts w:hint="eastAsia" w:eastAsiaTheme="minorEastAsia"/>
                          <w:lang w:eastAsia="zh-CN"/>
                        </w:rPr>
                        <w:drawing>
                          <wp:inline distT="0" distB="0" distL="114300" distR="114300">
                            <wp:extent cx="1497330" cy="2376170"/>
                            <wp:effectExtent l="0" t="0" r="5080" b="7620"/>
                            <wp:docPr id="4" name="图片 4" descr="4eb4c6cfa90a3b8c9950a070ab6fbe16"/>
                            <wp:cNvGraphicFramePr/>
                            <a:graphic xmlns:a="http://schemas.openxmlformats.org/drawingml/2006/main">
                              <a:graphicData uri="http://schemas.openxmlformats.org/drawingml/2006/picture">
                                <pic:pic xmlns:pic="http://schemas.openxmlformats.org/drawingml/2006/picture">
                                  <pic:nvPicPr>
                                    <pic:cNvPr id="4" name="图片 4" descr="4eb4c6cfa90a3b8c9950a070ab6fbe16"/>
                                    <pic:cNvPicPr/>
                                  </pic:nvPicPr>
                                  <pic:blipFill>
                                    <a:blip r:embed="rId8"/>
                                    <a:srcRect l="16293" t="21333" r="28388" b="16240"/>
                                    <a:stretch>
                                      <a:fillRect/>
                                    </a:stretch>
                                  </pic:blipFill>
                                  <pic:spPr>
                                    <a:xfrm rot="16200000">
                                      <a:off x="0" y="0"/>
                                      <a:ext cx="1497330" cy="2376170"/>
                                    </a:xfrm>
                                    <a:prstGeom prst="rect">
                                      <a:avLst/>
                                    </a:prstGeom>
                                  </pic:spPr>
                                </pic:pic>
                              </a:graphicData>
                            </a:graphic>
                          </wp:inline>
                        </w:drawing>
                      </w:r>
                      <w:r>
                        <w:rPr>
                          <w:rFonts w:hint="eastAsia" w:eastAsiaTheme="minorEastAsia"/>
                          <w:lang w:eastAsia="zh-CN"/>
                        </w:rPr>
                        <w:drawing>
                          <wp:inline distT="0" distB="0" distL="114300" distR="114300">
                            <wp:extent cx="2349500" cy="1497330"/>
                            <wp:effectExtent l="0" t="0" r="12700" b="7620"/>
                            <wp:docPr id="6" name="图片 6" descr="e47ec257299217a24ed80fb9f7bddf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e47ec257299217a24ed80fb9f7bddf94"/>
                                    <pic:cNvPicPr>
                                      <a:picLocks noChangeAspect="1"/>
                                    </pic:cNvPicPr>
                                  </pic:nvPicPr>
                                  <pic:blipFill>
                                    <a:blip r:embed="rId9"/>
                                    <a:srcRect l="15044" t="14434" r="16246" b="27241"/>
                                    <a:stretch>
                                      <a:fillRect/>
                                    </a:stretch>
                                  </pic:blipFill>
                                  <pic:spPr>
                                    <a:xfrm rot="10800000">
                                      <a:off x="0" y="0"/>
                                      <a:ext cx="2349500" cy="1497330"/>
                                    </a:xfrm>
                                    <a:prstGeom prst="rect">
                                      <a:avLst/>
                                    </a:prstGeom>
                                  </pic:spPr>
                                </pic:pic>
                              </a:graphicData>
                            </a:graphic>
                          </wp:inline>
                        </w:drawing>
                      </w:r>
                    </w:p>
                  </w:txbxContent>
                </v:textbox>
              </v:rect>
            </w:pict>
          </mc:Fallback>
        </mc:AlternateContent>
      </w:r>
    </w:p>
    <w:p w14:paraId="7BFB8BB7">
      <w:pPr>
        <w:rPr>
          <w:rFonts w:ascii="仿宋_GB2312" w:eastAsia="仿宋_GB2312"/>
          <w:color w:val="auto"/>
          <w:sz w:val="32"/>
          <w:szCs w:val="32"/>
          <w:highlight w:val="none"/>
        </w:rPr>
      </w:pPr>
    </w:p>
    <w:p w14:paraId="0943E705">
      <w:pPr>
        <w:rPr>
          <w:rFonts w:ascii="仿宋_GB2312" w:eastAsia="仿宋_GB2312"/>
          <w:color w:val="auto"/>
          <w:sz w:val="32"/>
          <w:szCs w:val="32"/>
          <w:highlight w:val="none"/>
        </w:rPr>
      </w:pPr>
    </w:p>
    <w:p w14:paraId="419847A6">
      <w:pPr>
        <w:rPr>
          <w:rFonts w:ascii="仿宋_GB2312" w:eastAsia="仿宋_GB2312"/>
          <w:color w:val="auto"/>
          <w:sz w:val="32"/>
          <w:szCs w:val="32"/>
          <w:highlight w:val="none"/>
        </w:rPr>
      </w:pPr>
    </w:p>
    <w:p w14:paraId="5D1C6C84">
      <w:pPr>
        <w:rPr>
          <w:rFonts w:ascii="仿宋_GB2312" w:eastAsia="仿宋_GB2312"/>
          <w:color w:val="auto"/>
          <w:sz w:val="32"/>
          <w:szCs w:val="32"/>
          <w:highlight w:val="none"/>
        </w:rPr>
      </w:pPr>
    </w:p>
    <w:p w14:paraId="0D85AA1C">
      <w:pPr>
        <w:rPr>
          <w:rFonts w:ascii="仿宋_GB2312" w:eastAsia="仿宋_GB2312"/>
          <w:color w:val="auto"/>
          <w:sz w:val="32"/>
          <w:szCs w:val="32"/>
          <w:highlight w:val="none"/>
        </w:rPr>
      </w:pPr>
    </w:p>
    <w:p w14:paraId="11BCD116">
      <w:pPr>
        <w:rPr>
          <w:rFonts w:ascii="Times New Roman" w:hAnsi="Times New Roman" w:eastAsia="宋体" w:cs="Times New Roman"/>
          <w:color w:val="auto"/>
          <w:szCs w:val="24"/>
          <w:highlight w:val="none"/>
        </w:rPr>
      </w:pPr>
    </w:p>
    <w:p w14:paraId="0F3D02CB">
      <w:pPr>
        <w:rPr>
          <w:rFonts w:ascii="Times New Roman" w:hAnsi="Times New Roman" w:eastAsia="宋体" w:cs="Times New Roman"/>
          <w:color w:val="auto"/>
          <w:sz w:val="28"/>
          <w:szCs w:val="28"/>
          <w:highlight w:val="none"/>
        </w:rPr>
      </w:pPr>
    </w:p>
    <w:p w14:paraId="44D1930C">
      <w:pPr>
        <w:rPr>
          <w:rFonts w:ascii="Times New Roman" w:hAnsi="Times New Roman" w:eastAsia="宋体" w:cs="Times New Roman"/>
          <w:color w:val="auto"/>
          <w:szCs w:val="24"/>
          <w:highlight w:val="none"/>
        </w:rPr>
      </w:pPr>
    </w:p>
    <w:p w14:paraId="273E27F1">
      <w:pPr>
        <w:wordWrap w:val="0"/>
        <w:jc w:val="right"/>
        <w:rPr>
          <w:rFonts w:ascii="Times New Roman" w:hAnsi="Times New Roman" w:eastAsia="宋体" w:cs="Times New Roman"/>
          <w:color w:val="auto"/>
          <w:sz w:val="32"/>
          <w:szCs w:val="32"/>
          <w:highlight w:val="none"/>
          <w:u w:val="single"/>
        </w:rPr>
      </w:pPr>
      <w:r>
        <w:rPr>
          <w:rFonts w:hint="eastAsia" w:ascii="Times New Roman" w:hAnsi="Times New Roman" w:eastAsia="宋体" w:cs="Times New Roman"/>
          <w:color w:val="auto"/>
          <w:sz w:val="32"/>
          <w:szCs w:val="32"/>
          <w:highlight w:val="none"/>
        </w:rPr>
        <w:t>备案编号：</w:t>
      </w:r>
      <w:r>
        <w:rPr>
          <w:rFonts w:hint="eastAsia" w:ascii="Times New Roman" w:hAnsi="Times New Roman" w:eastAsia="宋体" w:cs="Times New Roman"/>
          <w:color w:val="auto"/>
          <w:sz w:val="32"/>
          <w:szCs w:val="32"/>
          <w:highlight w:val="none"/>
          <w:u w:val="single"/>
        </w:rPr>
        <w:t xml:space="preserve">            </w:t>
      </w:r>
    </w:p>
    <w:p w14:paraId="7A2206D7">
      <w:pPr>
        <w:jc w:val="right"/>
        <w:rPr>
          <w:rFonts w:ascii="Times New Roman" w:hAnsi="Times New Roman" w:eastAsia="宋体" w:cs="Times New Roman"/>
          <w:color w:val="auto"/>
          <w:sz w:val="32"/>
          <w:szCs w:val="32"/>
          <w:highlight w:val="none"/>
          <w:u w:val="single"/>
        </w:rPr>
      </w:pPr>
    </w:p>
    <w:p w14:paraId="21C81CA5">
      <w:pPr>
        <w:jc w:val="right"/>
        <w:rPr>
          <w:rFonts w:ascii="Times New Roman" w:hAnsi="Times New Roman" w:eastAsia="宋体" w:cs="Times New Roman"/>
          <w:color w:val="auto"/>
          <w:sz w:val="32"/>
          <w:szCs w:val="32"/>
          <w:highlight w:val="none"/>
          <w:u w:val="single"/>
        </w:rPr>
      </w:pPr>
    </w:p>
    <w:p w14:paraId="57AA296E">
      <w:pPr>
        <w:jc w:val="right"/>
        <w:rPr>
          <w:rFonts w:ascii="Times New Roman" w:hAnsi="Times New Roman" w:eastAsia="宋体" w:cs="Times New Roman"/>
          <w:color w:val="auto"/>
          <w:sz w:val="32"/>
          <w:szCs w:val="32"/>
          <w:highlight w:val="none"/>
          <w:u w:val="single"/>
        </w:rPr>
      </w:pPr>
    </w:p>
    <w:p w14:paraId="3488D3A1">
      <w:pPr>
        <w:jc w:val="right"/>
        <w:rPr>
          <w:rFonts w:ascii="Times New Roman" w:hAnsi="Times New Roman" w:eastAsia="宋体" w:cs="Times New Roman"/>
          <w:color w:val="auto"/>
          <w:sz w:val="32"/>
          <w:szCs w:val="32"/>
          <w:highlight w:val="none"/>
          <w:u w:val="single"/>
        </w:rPr>
      </w:pPr>
    </w:p>
    <w:p w14:paraId="540E38A6">
      <w:pPr>
        <w:rPr>
          <w:rFonts w:ascii="Times New Roman" w:hAnsi="Times New Roman" w:eastAsia="宋体" w:cs="Times New Roman"/>
          <w:color w:val="auto"/>
          <w:sz w:val="32"/>
          <w:szCs w:val="32"/>
          <w:highlight w:val="none"/>
          <w:u w:val="single"/>
        </w:rPr>
      </w:pPr>
    </w:p>
    <w:p w14:paraId="2A2BD729">
      <w:pPr>
        <w:jc w:val="center"/>
        <w:rPr>
          <w:rFonts w:ascii="Times New Roman" w:hAnsi="Times New Roman" w:eastAsia="宋体" w:cs="Times New Roman"/>
          <w:b/>
          <w:color w:val="auto"/>
          <w:spacing w:val="30"/>
          <w:sz w:val="60"/>
          <w:szCs w:val="60"/>
          <w:highlight w:val="none"/>
        </w:rPr>
      </w:pPr>
      <w:r>
        <w:rPr>
          <w:rFonts w:hint="eastAsia" w:ascii="Times New Roman" w:hAnsi="Times New Roman" w:eastAsia="宋体" w:cs="Times New Roman"/>
          <w:b/>
          <w:color w:val="auto"/>
          <w:spacing w:val="30"/>
          <w:sz w:val="60"/>
          <w:szCs w:val="60"/>
          <w:highlight w:val="none"/>
        </w:rPr>
        <w:t>国有资产评估项目备案表</w:t>
      </w:r>
    </w:p>
    <w:p w14:paraId="5A79BC73">
      <w:pPr>
        <w:jc w:val="center"/>
        <w:rPr>
          <w:rFonts w:ascii="Times New Roman" w:hAnsi="Times New Roman" w:eastAsia="宋体" w:cs="Times New Roman"/>
          <w:b/>
          <w:color w:val="auto"/>
          <w:spacing w:val="30"/>
          <w:sz w:val="60"/>
          <w:szCs w:val="60"/>
          <w:highlight w:val="none"/>
        </w:rPr>
      </w:pPr>
    </w:p>
    <w:p w14:paraId="5345D2DB">
      <w:pPr>
        <w:jc w:val="center"/>
        <w:rPr>
          <w:rFonts w:ascii="Times New Roman" w:hAnsi="Times New Roman" w:eastAsia="宋体" w:cs="Times New Roman"/>
          <w:b/>
          <w:color w:val="auto"/>
          <w:spacing w:val="30"/>
          <w:sz w:val="60"/>
          <w:szCs w:val="60"/>
          <w:highlight w:val="none"/>
        </w:rPr>
      </w:pPr>
    </w:p>
    <w:p w14:paraId="76A8683E">
      <w:pPr>
        <w:rPr>
          <w:rFonts w:ascii="Times New Roman" w:hAnsi="Times New Roman" w:eastAsia="宋体" w:cs="Times New Roman"/>
          <w:b/>
          <w:color w:val="auto"/>
          <w:spacing w:val="30"/>
          <w:sz w:val="32"/>
          <w:szCs w:val="32"/>
          <w:highlight w:val="none"/>
        </w:rPr>
      </w:pPr>
    </w:p>
    <w:p w14:paraId="45C2EA2E">
      <w:pPr>
        <w:rPr>
          <w:rFonts w:hint="eastAsia" w:ascii="Times New Roman" w:hAnsi="Times New Roman" w:eastAsia="宋体" w:cs="Times New Roman"/>
          <w:color w:val="auto"/>
          <w:sz w:val="32"/>
          <w:szCs w:val="32"/>
          <w:highlight w:val="none"/>
        </w:rPr>
      </w:pPr>
      <w:r>
        <w:rPr>
          <w:rFonts w:hint="eastAsia" w:ascii="Times New Roman" w:hAnsi="Times New Roman" w:eastAsia="宋体" w:cs="Times New Roman"/>
          <w:color w:val="auto"/>
          <w:spacing w:val="30"/>
          <w:sz w:val="32"/>
          <w:szCs w:val="32"/>
          <w:highlight w:val="none"/>
        </w:rPr>
        <w:t xml:space="preserve">     </w:t>
      </w:r>
      <w:r>
        <w:rPr>
          <w:rFonts w:hint="eastAsia" w:ascii="Times New Roman" w:hAnsi="Times New Roman" w:eastAsia="宋体" w:cs="Times New Roman"/>
          <w:color w:val="auto"/>
          <w:sz w:val="32"/>
          <w:szCs w:val="32"/>
          <w:highlight w:val="none"/>
        </w:rPr>
        <w:t xml:space="preserve">产权持有单位（盖章）： </w:t>
      </w:r>
      <w:r>
        <w:rPr>
          <w:rFonts w:hint="eastAsia" w:ascii="Times New Roman" w:hAnsi="Times New Roman" w:eastAsia="宋体" w:cs="Times New Roman"/>
          <w:color w:val="auto"/>
          <w:sz w:val="32"/>
          <w:szCs w:val="32"/>
          <w:highlight w:val="none"/>
          <w:u w:val="single"/>
        </w:rPr>
        <w:t>济南野生动物世界有限公司</w:t>
      </w:r>
      <w:r>
        <w:rPr>
          <w:rFonts w:hint="eastAsia" w:ascii="Times New Roman" w:hAnsi="Times New Roman" w:eastAsia="宋体" w:cs="Times New Roman"/>
          <w:color w:val="auto"/>
          <w:sz w:val="32"/>
          <w:szCs w:val="32"/>
          <w:highlight w:val="none"/>
        </w:rPr>
        <w:t xml:space="preserve">                   </w:t>
      </w:r>
    </w:p>
    <w:p w14:paraId="402A5606">
      <w:pPr>
        <w:rPr>
          <w:rFonts w:ascii="Times New Roman" w:hAnsi="Times New Roman" w:eastAsia="宋体" w:cs="Times New Roman"/>
          <w:color w:val="auto"/>
          <w:spacing w:val="30"/>
          <w:sz w:val="32"/>
          <w:szCs w:val="32"/>
          <w:highlight w:val="none"/>
          <w:u w:val="single"/>
        </w:rPr>
      </w:pPr>
    </w:p>
    <w:p w14:paraId="758CA6E6">
      <w:pPr>
        <w:rPr>
          <w:rFonts w:ascii="Times New Roman" w:hAnsi="Times New Roman" w:eastAsia="宋体" w:cs="Times New Roman"/>
          <w:color w:val="auto"/>
          <w:spacing w:val="30"/>
          <w:sz w:val="32"/>
          <w:szCs w:val="32"/>
          <w:highlight w:val="none"/>
          <w:u w:val="single"/>
        </w:rPr>
      </w:pPr>
      <w:r>
        <w:rPr>
          <w:rFonts w:hint="eastAsia" w:ascii="Times New Roman" w:hAnsi="Times New Roman" w:eastAsia="宋体" w:cs="Times New Roman"/>
          <w:color w:val="auto"/>
          <w:spacing w:val="30"/>
          <w:sz w:val="32"/>
          <w:szCs w:val="32"/>
          <w:highlight w:val="none"/>
        </w:rPr>
        <w:t xml:space="preserve">    </w:t>
      </w:r>
      <w:r>
        <w:rPr>
          <w:rFonts w:hint="eastAsia" w:ascii="Times New Roman" w:hAnsi="Times New Roman" w:eastAsia="宋体" w:cs="Times New Roman"/>
          <w:color w:val="auto"/>
          <w:spacing w:val="20"/>
          <w:sz w:val="32"/>
          <w:szCs w:val="32"/>
          <w:highlight w:val="none"/>
        </w:rPr>
        <w:t xml:space="preserve"> </w:t>
      </w:r>
      <w:r>
        <w:rPr>
          <w:rFonts w:hint="eastAsia" w:ascii="Times New Roman" w:hAnsi="Times New Roman" w:eastAsia="宋体" w:cs="Times New Roman"/>
          <w:color w:val="auto"/>
          <w:spacing w:val="26"/>
          <w:kern w:val="11"/>
          <w:sz w:val="32"/>
          <w:szCs w:val="32"/>
          <w:highlight w:val="none"/>
        </w:rPr>
        <w:t>法定代表人</w:t>
      </w:r>
      <w:r>
        <w:rPr>
          <w:rFonts w:hint="eastAsia" w:ascii="Times New Roman" w:hAnsi="Times New Roman" w:eastAsia="宋体" w:cs="Times New Roman"/>
          <w:color w:val="auto"/>
          <w:sz w:val="32"/>
          <w:szCs w:val="32"/>
          <w:highlight w:val="none"/>
        </w:rPr>
        <w:t>（签字）</w:t>
      </w:r>
      <w:r>
        <w:rPr>
          <w:rFonts w:hint="eastAsia" w:ascii="Times New Roman" w:hAnsi="Times New Roman" w:eastAsia="宋体" w:cs="Times New Roman"/>
          <w:color w:val="auto"/>
          <w:spacing w:val="30"/>
          <w:sz w:val="32"/>
          <w:szCs w:val="32"/>
          <w:highlight w:val="none"/>
        </w:rPr>
        <w:t>：</w:t>
      </w:r>
      <w:r>
        <w:rPr>
          <w:rFonts w:hint="eastAsia" w:ascii="Times New Roman" w:hAnsi="Times New Roman" w:eastAsia="宋体" w:cs="Times New Roman"/>
          <w:color w:val="auto"/>
          <w:spacing w:val="30"/>
          <w:sz w:val="32"/>
          <w:szCs w:val="32"/>
          <w:highlight w:val="none"/>
          <w:u w:val="single"/>
        </w:rPr>
        <w:t xml:space="preserve">               </w:t>
      </w:r>
    </w:p>
    <w:p w14:paraId="32938A9B">
      <w:pPr>
        <w:rPr>
          <w:rFonts w:ascii="Times New Roman" w:hAnsi="Times New Roman" w:eastAsia="宋体" w:cs="Times New Roman"/>
          <w:color w:val="auto"/>
          <w:spacing w:val="30"/>
          <w:sz w:val="32"/>
          <w:szCs w:val="32"/>
          <w:highlight w:val="none"/>
          <w:u w:val="single"/>
        </w:rPr>
      </w:pPr>
    </w:p>
    <w:p w14:paraId="0FF81132">
      <w:pPr>
        <w:rPr>
          <w:rFonts w:ascii="Times New Roman" w:hAnsi="Times New Roman" w:eastAsia="宋体" w:cs="Times New Roman"/>
          <w:color w:val="auto"/>
          <w:spacing w:val="120"/>
          <w:sz w:val="32"/>
          <w:szCs w:val="32"/>
          <w:highlight w:val="none"/>
          <w:u w:val="single"/>
        </w:rPr>
      </w:pPr>
      <w:r>
        <w:rPr>
          <w:rFonts w:hint="eastAsia" w:ascii="Times New Roman" w:hAnsi="Times New Roman" w:eastAsia="宋体" w:cs="Times New Roman"/>
          <w:color w:val="auto"/>
          <w:spacing w:val="30"/>
          <w:sz w:val="32"/>
          <w:szCs w:val="32"/>
          <w:highlight w:val="none"/>
        </w:rPr>
        <w:t xml:space="preserve">  </w:t>
      </w:r>
      <w:r>
        <w:rPr>
          <w:rFonts w:hint="eastAsia" w:ascii="Times New Roman" w:hAnsi="Times New Roman" w:eastAsia="宋体" w:cs="Times New Roman"/>
          <w:color w:val="auto"/>
          <w:spacing w:val="102"/>
          <w:sz w:val="32"/>
          <w:szCs w:val="32"/>
          <w:highlight w:val="none"/>
        </w:rPr>
        <w:t xml:space="preserve"> </w:t>
      </w:r>
      <w:r>
        <w:rPr>
          <w:rFonts w:hint="eastAsia" w:ascii="Times New Roman" w:hAnsi="Times New Roman" w:eastAsia="宋体" w:cs="Times New Roman"/>
          <w:color w:val="auto"/>
          <w:spacing w:val="80"/>
          <w:sz w:val="32"/>
          <w:szCs w:val="32"/>
          <w:highlight w:val="none"/>
        </w:rPr>
        <w:t xml:space="preserve"> 填 报 日 期</w:t>
      </w:r>
      <w:r>
        <w:rPr>
          <w:rFonts w:hint="eastAsia" w:ascii="Times New Roman" w:hAnsi="Times New Roman" w:eastAsia="宋体" w:cs="Times New Roman"/>
          <w:color w:val="auto"/>
          <w:sz w:val="32"/>
          <w:szCs w:val="32"/>
          <w:highlight w:val="none"/>
        </w:rPr>
        <w:t xml:space="preserve">： </w:t>
      </w:r>
      <w:r>
        <w:rPr>
          <w:rFonts w:hint="eastAsia" w:ascii="Times New Roman" w:hAnsi="Times New Roman" w:eastAsia="宋体" w:cs="Times New Roman"/>
          <w:color w:val="auto"/>
          <w:spacing w:val="120"/>
          <w:sz w:val="32"/>
          <w:szCs w:val="32"/>
          <w:highlight w:val="none"/>
          <w:u w:val="single"/>
        </w:rPr>
        <w:t xml:space="preserve">        </w:t>
      </w:r>
    </w:p>
    <w:p w14:paraId="6BC682C1">
      <w:pPr>
        <w:ind w:firstLine="486" w:firstLineChars="128"/>
        <w:rPr>
          <w:rFonts w:ascii="Times New Roman" w:hAnsi="Times New Roman" w:eastAsia="宋体" w:cs="Times New Roman"/>
          <w:color w:val="auto"/>
          <w:spacing w:val="30"/>
          <w:sz w:val="32"/>
          <w:szCs w:val="32"/>
          <w:highlight w:val="none"/>
          <w:u w:val="single"/>
        </w:rPr>
      </w:pPr>
    </w:p>
    <w:p w14:paraId="2074C330">
      <w:pPr>
        <w:ind w:firstLine="486" w:firstLineChars="128"/>
        <w:rPr>
          <w:rFonts w:ascii="Times New Roman" w:hAnsi="Times New Roman" w:eastAsia="宋体" w:cs="Times New Roman"/>
          <w:color w:val="auto"/>
          <w:spacing w:val="30"/>
          <w:sz w:val="32"/>
          <w:szCs w:val="32"/>
          <w:highlight w:val="none"/>
          <w:u w:val="single"/>
        </w:rPr>
      </w:pPr>
    </w:p>
    <w:p w14:paraId="1F95F5E6">
      <w:pPr>
        <w:ind w:firstLine="486" w:firstLineChars="128"/>
        <w:rPr>
          <w:rFonts w:ascii="Times New Roman" w:hAnsi="Times New Roman" w:eastAsia="宋体" w:cs="Times New Roman"/>
          <w:color w:val="auto"/>
          <w:spacing w:val="30"/>
          <w:sz w:val="32"/>
          <w:szCs w:val="32"/>
          <w:highlight w:val="none"/>
          <w:u w:val="single"/>
        </w:rPr>
      </w:pPr>
    </w:p>
    <w:p w14:paraId="6D9BFCC5">
      <w:pPr>
        <w:jc w:val="center"/>
        <w:rPr>
          <w:rFonts w:ascii="黑体" w:hAnsi="Times New Roman" w:eastAsia="黑体" w:cs="Times New Roman"/>
          <w:b/>
          <w:color w:val="auto"/>
          <w:spacing w:val="30"/>
          <w:sz w:val="24"/>
          <w:szCs w:val="24"/>
          <w:highlight w:val="none"/>
        </w:rPr>
      </w:pPr>
      <w:r>
        <w:rPr>
          <w:rFonts w:hint="eastAsia" w:ascii="黑体" w:hAnsi="Times New Roman" w:eastAsia="黑体" w:cs="Times New Roman"/>
          <w:b/>
          <w:color w:val="auto"/>
          <w:spacing w:val="30"/>
          <w:sz w:val="24"/>
          <w:szCs w:val="24"/>
          <w:highlight w:val="none"/>
        </w:rPr>
        <w:t>国务院国有资产监督管理委员会制</w:t>
      </w:r>
    </w:p>
    <w:p w14:paraId="294EE0DC">
      <w:pPr>
        <w:rPr>
          <w:rFonts w:ascii="Times New Roman" w:hAnsi="Times New Roman" w:eastAsia="宋体" w:cs="Times New Roman"/>
          <w:color w:val="auto"/>
          <w:szCs w:val="24"/>
          <w:highlight w:val="none"/>
        </w:rPr>
      </w:pPr>
    </w:p>
    <w:p w14:paraId="19C811CF">
      <w:pPr>
        <w:rPr>
          <w:rFonts w:ascii="Times New Roman" w:hAnsi="Times New Roman" w:eastAsia="宋体" w:cs="Times New Roman"/>
          <w:color w:val="auto"/>
          <w:szCs w:val="24"/>
          <w:highlight w:val="none"/>
        </w:rPr>
      </w:pPr>
    </w:p>
    <w:p w14:paraId="4C20CF78">
      <w:pPr>
        <w:jc w:val="center"/>
        <w:rPr>
          <w:rFonts w:hint="eastAsia" w:ascii="宋体" w:hAnsi="宋体" w:eastAsia="宋体" w:cs="Times New Roman"/>
          <w:color w:val="auto"/>
          <w:spacing w:val="30"/>
          <w:sz w:val="44"/>
          <w:szCs w:val="44"/>
          <w:highlight w:val="none"/>
        </w:rPr>
      </w:pPr>
    </w:p>
    <w:p w14:paraId="26D02E80">
      <w:pPr>
        <w:jc w:val="center"/>
        <w:rPr>
          <w:rFonts w:ascii="宋体" w:hAnsi="宋体" w:eastAsia="宋体" w:cs="Times New Roman"/>
          <w:color w:val="auto"/>
          <w:spacing w:val="30"/>
          <w:sz w:val="44"/>
          <w:szCs w:val="44"/>
          <w:highlight w:val="none"/>
        </w:rPr>
      </w:pPr>
      <w:r>
        <w:rPr>
          <w:rFonts w:hint="eastAsia" w:ascii="宋体" w:hAnsi="宋体" w:eastAsia="宋体" w:cs="Times New Roman"/>
          <w:color w:val="auto"/>
          <w:spacing w:val="30"/>
          <w:sz w:val="44"/>
          <w:szCs w:val="44"/>
          <w:highlight w:val="none"/>
        </w:rPr>
        <w:t>资产评估项目基本情况</w:t>
      </w:r>
    </w:p>
    <w:p w14:paraId="6E61A642">
      <w:pPr>
        <w:jc w:val="center"/>
        <w:rPr>
          <w:rFonts w:ascii="宋体" w:hAnsi="宋体" w:eastAsia="宋体" w:cs="Times New Roman"/>
          <w:color w:val="auto"/>
          <w:spacing w:val="30"/>
          <w:sz w:val="44"/>
          <w:szCs w:val="44"/>
          <w:highlight w:val="none"/>
        </w:rPr>
      </w:pPr>
    </w:p>
    <w:tbl>
      <w:tblPr>
        <w:tblStyle w:val="9"/>
        <w:tblW w:w="10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
        <w:gridCol w:w="1374"/>
        <w:gridCol w:w="1080"/>
        <w:gridCol w:w="419"/>
        <w:gridCol w:w="121"/>
        <w:gridCol w:w="709"/>
        <w:gridCol w:w="1171"/>
        <w:gridCol w:w="820"/>
        <w:gridCol w:w="197"/>
        <w:gridCol w:w="842"/>
        <w:gridCol w:w="941"/>
        <w:gridCol w:w="439"/>
        <w:gridCol w:w="1381"/>
      </w:tblGrid>
      <w:tr w14:paraId="6527B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980" w:type="dxa"/>
            <w:gridSpan w:val="2"/>
            <w:vAlign w:val="center"/>
          </w:tcPr>
          <w:p w14:paraId="72EED748">
            <w:pPr>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评　估　对　象</w:t>
            </w:r>
          </w:p>
        </w:tc>
        <w:tc>
          <w:tcPr>
            <w:tcW w:w="8120" w:type="dxa"/>
            <w:gridSpan w:val="11"/>
            <w:vAlign w:val="center"/>
          </w:tcPr>
          <w:p w14:paraId="301B7004">
            <w:pP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济南野生动物世界有限公司</w:t>
            </w:r>
            <w:r>
              <w:rPr>
                <w:rFonts w:hint="eastAsia" w:ascii="宋体" w:hAnsi="宋体" w:eastAsia="宋体" w:cs="Times New Roman"/>
                <w:color w:val="auto"/>
                <w:sz w:val="24"/>
                <w:szCs w:val="24"/>
                <w:highlight w:val="none"/>
                <w:lang w:val="en-US" w:eastAsia="zh-CN"/>
              </w:rPr>
              <w:t>自驾游部分土地</w:t>
            </w:r>
          </w:p>
        </w:tc>
      </w:tr>
      <w:tr w14:paraId="21F05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980" w:type="dxa"/>
            <w:gridSpan w:val="2"/>
            <w:vAlign w:val="center"/>
          </w:tcPr>
          <w:p w14:paraId="66DB94C6">
            <w:pPr>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产权持有单位</w:t>
            </w:r>
          </w:p>
        </w:tc>
        <w:tc>
          <w:tcPr>
            <w:tcW w:w="4517" w:type="dxa"/>
            <w:gridSpan w:val="7"/>
            <w:vAlign w:val="center"/>
          </w:tcPr>
          <w:p w14:paraId="2C90B22E">
            <w:pP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济南野生动物世界有限公司</w:t>
            </w:r>
          </w:p>
        </w:tc>
        <w:tc>
          <w:tcPr>
            <w:tcW w:w="1783" w:type="dxa"/>
            <w:gridSpan w:val="2"/>
            <w:vAlign w:val="center"/>
          </w:tcPr>
          <w:p w14:paraId="266BF2C1">
            <w:pPr>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企业管理级次</w:t>
            </w:r>
          </w:p>
        </w:tc>
        <w:tc>
          <w:tcPr>
            <w:tcW w:w="1820" w:type="dxa"/>
            <w:gridSpan w:val="2"/>
            <w:vAlign w:val="center"/>
          </w:tcPr>
          <w:p w14:paraId="132D9ECF">
            <w:pPr>
              <w:jc w:val="center"/>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全资3级</w:t>
            </w:r>
          </w:p>
        </w:tc>
      </w:tr>
      <w:tr w14:paraId="5F1A5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980" w:type="dxa"/>
            <w:gridSpan w:val="2"/>
            <w:vAlign w:val="center"/>
          </w:tcPr>
          <w:p w14:paraId="6B94F5B4">
            <w:pPr>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资产评估委托方</w:t>
            </w:r>
          </w:p>
        </w:tc>
        <w:tc>
          <w:tcPr>
            <w:tcW w:w="8120" w:type="dxa"/>
            <w:gridSpan w:val="11"/>
            <w:vAlign w:val="center"/>
          </w:tcPr>
          <w:p w14:paraId="7782E6EE">
            <w:pP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lang w:val="en-US" w:eastAsia="zh-CN"/>
              </w:rPr>
              <w:t>济南野生动物世界有限公司</w:t>
            </w:r>
          </w:p>
        </w:tc>
      </w:tr>
      <w:tr w14:paraId="364B4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479" w:type="dxa"/>
            <w:gridSpan w:val="4"/>
            <w:vAlign w:val="center"/>
          </w:tcPr>
          <w:p w14:paraId="23A3AD20">
            <w:pPr>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所出资企业（有关部门）</w:t>
            </w:r>
          </w:p>
        </w:tc>
        <w:tc>
          <w:tcPr>
            <w:tcW w:w="6621" w:type="dxa"/>
            <w:gridSpan w:val="9"/>
            <w:vAlign w:val="center"/>
          </w:tcPr>
          <w:p w14:paraId="34796E6D">
            <w:pPr>
              <w:jc w:val="center"/>
              <w:rPr>
                <w:rFonts w:ascii="宋体" w:hAnsi="宋体" w:eastAsia="宋体" w:cs="Times New Roman"/>
                <w:color w:val="auto"/>
                <w:sz w:val="24"/>
                <w:szCs w:val="24"/>
                <w:highlight w:val="none"/>
              </w:rPr>
            </w:pPr>
            <w:r>
              <w:rPr>
                <w:rFonts w:hint="eastAsia" w:asciiTheme="minorEastAsia" w:hAnsiTheme="minorEastAsia" w:eastAsiaTheme="minorEastAsia" w:cstheme="minorEastAsia"/>
                <w:color w:val="auto"/>
                <w:kern w:val="2"/>
                <w:sz w:val="24"/>
                <w:szCs w:val="24"/>
                <w:highlight w:val="none"/>
                <w:lang w:val="en-US" w:eastAsia="zh-CN" w:bidi="ar-SA"/>
              </w:rPr>
              <w:t>济南文旅发展集团有限公司</w:t>
            </w:r>
            <w:r>
              <w:rPr>
                <w:rFonts w:hint="eastAsia" w:ascii="宋体" w:hAnsi="宋体" w:eastAsia="宋体" w:cs="Times New Roman"/>
                <w:color w:val="auto"/>
                <w:sz w:val="24"/>
                <w:szCs w:val="24"/>
                <w:highlight w:val="none"/>
              </w:rPr>
              <w:t xml:space="preserve">  </w:t>
            </w:r>
          </w:p>
        </w:tc>
      </w:tr>
      <w:tr w14:paraId="2E8A0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jc w:val="center"/>
        </w:trPr>
        <w:tc>
          <w:tcPr>
            <w:tcW w:w="606" w:type="dxa"/>
            <w:vAlign w:val="center"/>
          </w:tcPr>
          <w:p w14:paraId="2FD86976">
            <w:pPr>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经济行为类型</w:t>
            </w:r>
          </w:p>
        </w:tc>
        <w:tc>
          <w:tcPr>
            <w:tcW w:w="9494" w:type="dxa"/>
            <w:gridSpan w:val="12"/>
            <w:vAlign w:val="center"/>
          </w:tcPr>
          <w:p w14:paraId="794A522D">
            <w:pPr>
              <w:widowControl/>
              <w:spacing w:before="100" w:beforeAutospacing="1" w:after="100" w:afterAutospacing="1"/>
              <w:ind w:left="6"/>
              <w:rPr>
                <w:rFonts w:ascii="宋体" w:hAnsi="宋体" w:eastAsia="宋体" w:cs="宋体"/>
                <w:color w:val="auto"/>
                <w:kern w:val="0"/>
                <w:sz w:val="24"/>
                <w:szCs w:val="24"/>
                <w:highlight w:val="none"/>
              </w:rPr>
            </w:pPr>
            <w:r>
              <w:rPr>
                <w:rFonts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rPr>
              <w:t xml:space="preserve"> 整体或者部分改建为有限责任公司或者股份有限公司 </w:t>
            </w:r>
            <w:r>
              <w:rPr>
                <w:rFonts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rPr>
              <w:t>以非货币资产对外投资</w:t>
            </w:r>
          </w:p>
          <w:p w14:paraId="05F0C4E9">
            <w:pPr>
              <w:widowControl/>
              <w:spacing w:before="100" w:beforeAutospacing="1" w:after="100" w:afterAutospacing="1"/>
              <w:ind w:left="6"/>
              <w:rPr>
                <w:rFonts w:ascii="宋体" w:hAnsi="宋体" w:eastAsia="宋体" w:cs="宋体"/>
                <w:color w:val="auto"/>
                <w:kern w:val="0"/>
                <w:sz w:val="24"/>
                <w:szCs w:val="24"/>
                <w:highlight w:val="none"/>
              </w:rPr>
            </w:pPr>
            <w:r>
              <w:rPr>
                <w:rFonts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rPr>
              <w:t xml:space="preserve"> 合并、分立、破产、解散 </w:t>
            </w:r>
            <w:r>
              <w:rPr>
                <w:rFonts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rPr>
              <w:t xml:space="preserve"> 非上市公司国有股东股权比例变动</w:t>
            </w:r>
          </w:p>
          <w:p w14:paraId="7287DF8F">
            <w:pPr>
              <w:widowControl/>
              <w:spacing w:before="100" w:beforeAutospacing="1" w:after="100" w:afterAutospacing="1"/>
              <w:ind w:left="6"/>
              <w:rPr>
                <w:rFonts w:ascii="宋体" w:hAnsi="宋体" w:eastAsia="宋体" w:cs="宋体"/>
                <w:color w:val="auto"/>
                <w:kern w:val="0"/>
                <w:sz w:val="24"/>
                <w:szCs w:val="24"/>
                <w:highlight w:val="none"/>
              </w:rPr>
            </w:pPr>
            <w:r>
              <w:rPr>
                <w:rFonts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rPr>
              <w:t xml:space="preserve"> 产权转让  </w:t>
            </w:r>
            <w:r>
              <w:rPr>
                <w:rFonts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rPr>
              <w:t xml:space="preserve"> 资产转让、置换 ■ 整体资产或者部分资产租赁给非国有单位</w:t>
            </w:r>
          </w:p>
          <w:p w14:paraId="131BCDAA">
            <w:pPr>
              <w:widowControl/>
              <w:spacing w:before="100" w:beforeAutospacing="1" w:after="100" w:afterAutospacing="1"/>
              <w:ind w:left="6"/>
              <w:rPr>
                <w:rFonts w:ascii="宋体" w:hAnsi="宋体" w:eastAsia="宋体" w:cs="宋体"/>
                <w:color w:val="auto"/>
                <w:kern w:val="0"/>
                <w:sz w:val="24"/>
                <w:szCs w:val="24"/>
                <w:highlight w:val="none"/>
              </w:rPr>
            </w:pPr>
            <w:r>
              <w:rPr>
                <w:rFonts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rPr>
              <w:t xml:space="preserve"> 以非货币资产偿还债务 </w:t>
            </w:r>
            <w:r>
              <w:rPr>
                <w:rFonts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rPr>
              <w:t xml:space="preserve"> 资产涉讼 </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 xml:space="preserve"> 其他</w:t>
            </w:r>
          </w:p>
        </w:tc>
      </w:tr>
      <w:tr w14:paraId="35A49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980" w:type="dxa"/>
            <w:gridSpan w:val="2"/>
            <w:vAlign w:val="center"/>
          </w:tcPr>
          <w:p w14:paraId="42B30B0B">
            <w:pPr>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评估报告书编号</w:t>
            </w:r>
          </w:p>
        </w:tc>
        <w:tc>
          <w:tcPr>
            <w:tcW w:w="3500" w:type="dxa"/>
            <w:gridSpan w:val="5"/>
            <w:shd w:val="clear" w:color="auto" w:fill="auto"/>
            <w:vAlign w:val="center"/>
          </w:tcPr>
          <w:p w14:paraId="241540F7">
            <w:pPr>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sz w:val="24"/>
                <w:szCs w:val="24"/>
                <w:highlight w:val="none"/>
              </w:rPr>
              <w:t>鲁德信评报字【2025】第0</w:t>
            </w:r>
            <w:r>
              <w:rPr>
                <w:rFonts w:hint="eastAsia" w:asciiTheme="majorEastAsia" w:hAnsiTheme="majorEastAsia" w:eastAsiaTheme="majorEastAsia" w:cstheme="majorEastAsia"/>
                <w:color w:val="auto"/>
                <w:sz w:val="24"/>
                <w:szCs w:val="24"/>
                <w:highlight w:val="none"/>
                <w:lang w:val="en-US" w:eastAsia="zh-CN"/>
              </w:rPr>
              <w:t>9</w:t>
            </w:r>
            <w:r>
              <w:rPr>
                <w:rFonts w:hint="eastAsia" w:asciiTheme="majorEastAsia" w:hAnsiTheme="majorEastAsia" w:eastAsiaTheme="majorEastAsia" w:cstheme="majorEastAsia"/>
                <w:color w:val="auto"/>
                <w:sz w:val="24"/>
                <w:szCs w:val="24"/>
                <w:highlight w:val="none"/>
              </w:rPr>
              <w:t>6号</w:t>
            </w:r>
          </w:p>
        </w:tc>
        <w:tc>
          <w:tcPr>
            <w:tcW w:w="1859" w:type="dxa"/>
            <w:gridSpan w:val="3"/>
            <w:vAlign w:val="center"/>
          </w:tcPr>
          <w:p w14:paraId="4FF38E0C">
            <w:pPr>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主要评估方法</w:t>
            </w:r>
          </w:p>
        </w:tc>
        <w:tc>
          <w:tcPr>
            <w:tcW w:w="2761" w:type="dxa"/>
            <w:gridSpan w:val="3"/>
            <w:vAlign w:val="center"/>
          </w:tcPr>
          <w:p w14:paraId="4B39AAA1">
            <w:pP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lang w:val="en-US" w:eastAsia="zh-CN"/>
              </w:rPr>
              <w:t>收益法</w:t>
            </w:r>
          </w:p>
        </w:tc>
      </w:tr>
      <w:tr w14:paraId="5132C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980" w:type="dxa"/>
            <w:gridSpan w:val="2"/>
            <w:vAlign w:val="center"/>
          </w:tcPr>
          <w:p w14:paraId="4CF61CD4">
            <w:pPr>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评估机构名称</w:t>
            </w:r>
          </w:p>
        </w:tc>
        <w:tc>
          <w:tcPr>
            <w:tcW w:w="3500" w:type="dxa"/>
            <w:gridSpan w:val="5"/>
            <w:shd w:val="clear" w:color="auto" w:fill="auto"/>
            <w:vAlign w:val="center"/>
          </w:tcPr>
          <w:p w14:paraId="441BB988">
            <w:pPr>
              <w:ind w:firstLine="480" w:firstLineChars="200"/>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sz w:val="24"/>
                <w:szCs w:val="24"/>
                <w:highlight w:val="none"/>
                <w:lang w:val="en-US" w:eastAsia="zh-CN"/>
              </w:rPr>
              <w:t>山东德永诚信土地房地产资产评估有限公司</w:t>
            </w:r>
          </w:p>
        </w:tc>
        <w:tc>
          <w:tcPr>
            <w:tcW w:w="1859" w:type="dxa"/>
            <w:gridSpan w:val="3"/>
            <w:vAlign w:val="center"/>
          </w:tcPr>
          <w:p w14:paraId="0C776EE8">
            <w:pPr>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资质证书编号</w:t>
            </w:r>
          </w:p>
        </w:tc>
        <w:tc>
          <w:tcPr>
            <w:tcW w:w="2761" w:type="dxa"/>
            <w:gridSpan w:val="3"/>
            <w:vAlign w:val="center"/>
          </w:tcPr>
          <w:p w14:paraId="188613DB">
            <w:pPr>
              <w:ind w:firstLine="120" w:firstLineChars="50"/>
              <w:rPr>
                <w:rFonts w:hint="default" w:asciiTheme="majorEastAsia" w:hAnsiTheme="majorEastAsia" w:eastAsiaTheme="majorEastAsia" w:cstheme="majorEastAsia"/>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lang w:val="en-US" w:eastAsia="zh-CN"/>
              </w:rPr>
              <w:t>37080061</w:t>
            </w:r>
          </w:p>
        </w:tc>
      </w:tr>
      <w:tr w14:paraId="411D8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980" w:type="dxa"/>
            <w:gridSpan w:val="2"/>
            <w:vAlign w:val="center"/>
          </w:tcPr>
          <w:p w14:paraId="74FB78E4">
            <w:pPr>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注册评估师姓名</w:t>
            </w:r>
          </w:p>
        </w:tc>
        <w:tc>
          <w:tcPr>
            <w:tcW w:w="1620" w:type="dxa"/>
            <w:gridSpan w:val="3"/>
            <w:shd w:val="clear" w:color="auto" w:fill="auto"/>
            <w:vAlign w:val="center"/>
          </w:tcPr>
          <w:p w14:paraId="602D5F40">
            <w:pPr>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lang w:val="en-US" w:eastAsia="zh-CN"/>
              </w:rPr>
              <w:t>许修贤</w:t>
            </w:r>
          </w:p>
        </w:tc>
        <w:tc>
          <w:tcPr>
            <w:tcW w:w="1880" w:type="dxa"/>
            <w:gridSpan w:val="2"/>
            <w:shd w:val="clear" w:color="auto" w:fill="auto"/>
            <w:vAlign w:val="center"/>
          </w:tcPr>
          <w:p w14:paraId="4B304CE7">
            <w:pPr>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lang w:val="en-US" w:eastAsia="zh-CN"/>
              </w:rPr>
              <w:t>张留成</w:t>
            </w:r>
          </w:p>
        </w:tc>
        <w:tc>
          <w:tcPr>
            <w:tcW w:w="1859" w:type="dxa"/>
            <w:gridSpan w:val="3"/>
            <w:vAlign w:val="center"/>
          </w:tcPr>
          <w:p w14:paraId="6989B897">
            <w:pP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注册评估师编号</w:t>
            </w:r>
          </w:p>
        </w:tc>
        <w:tc>
          <w:tcPr>
            <w:tcW w:w="1380" w:type="dxa"/>
            <w:gridSpan w:val="2"/>
            <w:shd w:val="clear" w:color="auto" w:fill="auto"/>
            <w:vAlign w:val="center"/>
          </w:tcPr>
          <w:p w14:paraId="5212F126">
            <w:pPr>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sz w:val="24"/>
                <w:szCs w:val="24"/>
                <w:highlight w:val="none"/>
                <w:lang w:val="en-US" w:eastAsia="zh-CN"/>
              </w:rPr>
              <w:t>37230045</w:t>
            </w:r>
          </w:p>
        </w:tc>
        <w:tc>
          <w:tcPr>
            <w:tcW w:w="1381" w:type="dxa"/>
            <w:shd w:val="clear" w:color="auto" w:fill="auto"/>
            <w:vAlign w:val="center"/>
          </w:tcPr>
          <w:p w14:paraId="5D148C0E">
            <w:pPr>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sz w:val="24"/>
                <w:szCs w:val="24"/>
                <w:highlight w:val="none"/>
                <w:lang w:val="en-US" w:eastAsia="zh-CN"/>
              </w:rPr>
              <w:t>37030281</w:t>
            </w:r>
          </w:p>
        </w:tc>
      </w:tr>
      <w:tr w14:paraId="1C7A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980" w:type="dxa"/>
            <w:gridSpan w:val="2"/>
            <w:vAlign w:val="center"/>
          </w:tcPr>
          <w:p w14:paraId="0D2C7802">
            <w:pPr>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产权持有单位</w:t>
            </w:r>
          </w:p>
          <w:p w14:paraId="15470185">
            <w:pPr>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联系人</w:t>
            </w:r>
          </w:p>
        </w:tc>
        <w:tc>
          <w:tcPr>
            <w:tcW w:w="1080" w:type="dxa"/>
            <w:shd w:val="clear" w:color="auto" w:fill="auto"/>
            <w:vAlign w:val="center"/>
          </w:tcPr>
          <w:p w14:paraId="754CBD7A">
            <w:pPr>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lang w:val="en-US" w:eastAsia="zh-CN"/>
              </w:rPr>
              <w:t>鞠旭光</w:t>
            </w:r>
          </w:p>
        </w:tc>
        <w:tc>
          <w:tcPr>
            <w:tcW w:w="1249" w:type="dxa"/>
            <w:gridSpan w:val="3"/>
            <w:shd w:val="clear" w:color="auto" w:fill="auto"/>
            <w:vAlign w:val="center"/>
          </w:tcPr>
          <w:p w14:paraId="0131EC72">
            <w:pPr>
              <w:jc w:val="center"/>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sz w:val="24"/>
                <w:szCs w:val="24"/>
                <w:highlight w:val="none"/>
              </w:rPr>
              <w:t>电  话</w:t>
            </w:r>
          </w:p>
        </w:tc>
        <w:tc>
          <w:tcPr>
            <w:tcW w:w="1991" w:type="dxa"/>
            <w:gridSpan w:val="2"/>
            <w:shd w:val="clear" w:color="auto" w:fill="auto"/>
            <w:vAlign w:val="center"/>
          </w:tcPr>
          <w:p w14:paraId="30698DA4">
            <w:pPr>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lang w:val="en-US" w:eastAsia="zh-CN"/>
              </w:rPr>
              <w:t>18653197825</w:t>
            </w:r>
          </w:p>
        </w:tc>
        <w:tc>
          <w:tcPr>
            <w:tcW w:w="1039" w:type="dxa"/>
            <w:gridSpan w:val="2"/>
            <w:vAlign w:val="center"/>
          </w:tcPr>
          <w:p w14:paraId="0932CAA3">
            <w:pPr>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通  讯</w:t>
            </w:r>
          </w:p>
          <w:p w14:paraId="49AA4555">
            <w:pPr>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地  址</w:t>
            </w:r>
          </w:p>
        </w:tc>
        <w:tc>
          <w:tcPr>
            <w:tcW w:w="2761" w:type="dxa"/>
            <w:gridSpan w:val="3"/>
            <w:shd w:val="clear" w:color="auto" w:fill="auto"/>
            <w:vAlign w:val="center"/>
          </w:tcPr>
          <w:p w14:paraId="43A43DDF">
            <w:pPr>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u w:val="none"/>
              </w:rPr>
              <w:t>济南市章丘区埠村街道办事处济南野生动物世界</w:t>
            </w:r>
          </w:p>
        </w:tc>
      </w:tr>
      <w:tr w14:paraId="031C8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980" w:type="dxa"/>
            <w:gridSpan w:val="2"/>
            <w:vAlign w:val="center"/>
          </w:tcPr>
          <w:p w14:paraId="10CED0A1">
            <w:pPr>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所出资企业(有关部门)联系人</w:t>
            </w:r>
          </w:p>
        </w:tc>
        <w:tc>
          <w:tcPr>
            <w:tcW w:w="1080" w:type="dxa"/>
            <w:vAlign w:val="center"/>
          </w:tcPr>
          <w:p w14:paraId="7C3255CB">
            <w:pP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 xml:space="preserve"> </w:t>
            </w:r>
          </w:p>
        </w:tc>
        <w:tc>
          <w:tcPr>
            <w:tcW w:w="1249" w:type="dxa"/>
            <w:gridSpan w:val="3"/>
            <w:vAlign w:val="center"/>
          </w:tcPr>
          <w:p w14:paraId="33D09671">
            <w:pPr>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电  话</w:t>
            </w:r>
          </w:p>
        </w:tc>
        <w:tc>
          <w:tcPr>
            <w:tcW w:w="1991" w:type="dxa"/>
            <w:gridSpan w:val="2"/>
            <w:vAlign w:val="center"/>
          </w:tcPr>
          <w:p w14:paraId="59D32967">
            <w:pP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 xml:space="preserve"> </w:t>
            </w:r>
          </w:p>
        </w:tc>
        <w:tc>
          <w:tcPr>
            <w:tcW w:w="1039" w:type="dxa"/>
            <w:gridSpan w:val="2"/>
            <w:vAlign w:val="center"/>
          </w:tcPr>
          <w:p w14:paraId="6457863C">
            <w:pPr>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通  讯</w:t>
            </w:r>
          </w:p>
          <w:p w14:paraId="4B48E4BE">
            <w:pPr>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地  址</w:t>
            </w:r>
          </w:p>
        </w:tc>
        <w:tc>
          <w:tcPr>
            <w:tcW w:w="2761" w:type="dxa"/>
            <w:gridSpan w:val="3"/>
            <w:shd w:val="clear" w:color="auto" w:fill="auto"/>
            <w:vAlign w:val="center"/>
          </w:tcPr>
          <w:p w14:paraId="3E2E13E8">
            <w:pPr>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sz w:val="24"/>
                <w:szCs w:val="24"/>
                <w:highlight w:val="none"/>
              </w:rPr>
              <w:t xml:space="preserve"> </w:t>
            </w:r>
          </w:p>
        </w:tc>
      </w:tr>
      <w:tr w14:paraId="3DEEF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8" w:hRule="atLeast"/>
          <w:jc w:val="center"/>
        </w:trPr>
        <w:tc>
          <w:tcPr>
            <w:tcW w:w="3060" w:type="dxa"/>
            <w:gridSpan w:val="3"/>
            <w:vAlign w:val="center"/>
          </w:tcPr>
          <w:p w14:paraId="0AAF92C1">
            <w:pPr>
              <w:rPr>
                <w:rFonts w:ascii="宋体" w:hAnsi="宋体" w:eastAsia="宋体" w:cs="Times New Roman"/>
                <w:color w:val="auto"/>
                <w:sz w:val="24"/>
                <w:szCs w:val="24"/>
                <w:highlight w:val="none"/>
              </w:rPr>
            </w:pPr>
          </w:p>
          <w:p w14:paraId="3171099C">
            <w:pPr>
              <w:jc w:val="center"/>
              <w:rPr>
                <w:rFonts w:ascii="宋体" w:hAnsi="宋体" w:eastAsia="宋体" w:cs="Times New Roman"/>
                <w:color w:val="auto"/>
                <w:sz w:val="24"/>
                <w:szCs w:val="24"/>
                <w:highlight w:val="none"/>
              </w:rPr>
            </w:pPr>
          </w:p>
          <w:p w14:paraId="3610144C">
            <w:pPr>
              <w:jc w:val="center"/>
              <w:rPr>
                <w:rFonts w:ascii="宋体" w:hAnsi="宋体" w:eastAsia="宋体" w:cs="Times New Roman"/>
                <w:color w:val="auto"/>
                <w:sz w:val="24"/>
                <w:szCs w:val="24"/>
                <w:highlight w:val="none"/>
              </w:rPr>
            </w:pPr>
          </w:p>
          <w:p w14:paraId="768DA38D">
            <w:pPr>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产权持有单位盖章</w:t>
            </w:r>
          </w:p>
          <w:p w14:paraId="72E10375">
            <w:pPr>
              <w:jc w:val="center"/>
              <w:rPr>
                <w:rFonts w:ascii="宋体" w:hAnsi="宋体" w:eastAsia="宋体" w:cs="Times New Roman"/>
                <w:color w:val="auto"/>
                <w:sz w:val="24"/>
                <w:szCs w:val="24"/>
                <w:highlight w:val="none"/>
              </w:rPr>
            </w:pPr>
          </w:p>
          <w:p w14:paraId="4F78643A">
            <w:pPr>
              <w:jc w:val="center"/>
              <w:rPr>
                <w:rFonts w:ascii="宋体" w:hAnsi="宋体" w:eastAsia="宋体" w:cs="Times New Roman"/>
                <w:color w:val="auto"/>
                <w:sz w:val="24"/>
                <w:szCs w:val="24"/>
                <w:highlight w:val="none"/>
              </w:rPr>
            </w:pPr>
          </w:p>
          <w:p w14:paraId="600AACD9">
            <w:pPr>
              <w:jc w:val="center"/>
              <w:rPr>
                <w:rFonts w:ascii="宋体" w:hAnsi="宋体" w:eastAsia="宋体" w:cs="Times New Roman"/>
                <w:color w:val="auto"/>
                <w:sz w:val="24"/>
                <w:szCs w:val="24"/>
                <w:highlight w:val="none"/>
              </w:rPr>
            </w:pPr>
          </w:p>
          <w:p w14:paraId="19D952E0">
            <w:pPr>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年  月  日</w:t>
            </w:r>
          </w:p>
        </w:tc>
        <w:tc>
          <w:tcPr>
            <w:tcW w:w="3240" w:type="dxa"/>
            <w:gridSpan w:val="5"/>
            <w:vAlign w:val="center"/>
          </w:tcPr>
          <w:p w14:paraId="15626BF9">
            <w:pPr>
              <w:rPr>
                <w:rFonts w:ascii="宋体" w:hAnsi="宋体" w:eastAsia="宋体" w:cs="Times New Roman"/>
                <w:color w:val="auto"/>
                <w:sz w:val="24"/>
                <w:szCs w:val="24"/>
                <w:highlight w:val="none"/>
              </w:rPr>
            </w:pPr>
          </w:p>
          <w:p w14:paraId="045CD736">
            <w:pPr>
              <w:jc w:val="center"/>
              <w:rPr>
                <w:rFonts w:ascii="宋体" w:hAnsi="宋体" w:eastAsia="宋体" w:cs="Times New Roman"/>
                <w:color w:val="auto"/>
                <w:sz w:val="24"/>
                <w:szCs w:val="24"/>
                <w:highlight w:val="none"/>
              </w:rPr>
            </w:pPr>
          </w:p>
          <w:p w14:paraId="0983FE47">
            <w:pPr>
              <w:jc w:val="center"/>
              <w:rPr>
                <w:rFonts w:ascii="宋体" w:hAnsi="宋体" w:eastAsia="宋体" w:cs="Times New Roman"/>
                <w:color w:val="auto"/>
                <w:sz w:val="24"/>
                <w:szCs w:val="24"/>
                <w:highlight w:val="none"/>
              </w:rPr>
            </w:pPr>
          </w:p>
          <w:p w14:paraId="40AD18F3">
            <w:pPr>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上级单位盖章</w:t>
            </w:r>
          </w:p>
          <w:p w14:paraId="4DC6B337">
            <w:pPr>
              <w:jc w:val="center"/>
              <w:rPr>
                <w:rFonts w:ascii="宋体" w:hAnsi="宋体" w:eastAsia="宋体" w:cs="Times New Roman"/>
                <w:color w:val="auto"/>
                <w:sz w:val="24"/>
                <w:szCs w:val="24"/>
                <w:highlight w:val="none"/>
              </w:rPr>
            </w:pPr>
          </w:p>
          <w:p w14:paraId="57C2096C">
            <w:pPr>
              <w:jc w:val="center"/>
              <w:rPr>
                <w:rFonts w:ascii="宋体" w:hAnsi="宋体" w:eastAsia="宋体" w:cs="Times New Roman"/>
                <w:color w:val="auto"/>
                <w:sz w:val="24"/>
                <w:szCs w:val="24"/>
                <w:highlight w:val="none"/>
              </w:rPr>
            </w:pPr>
          </w:p>
          <w:p w14:paraId="5A4567C6">
            <w:pPr>
              <w:jc w:val="center"/>
              <w:rPr>
                <w:rFonts w:ascii="宋体" w:hAnsi="宋体" w:eastAsia="宋体" w:cs="Times New Roman"/>
                <w:color w:val="auto"/>
                <w:sz w:val="24"/>
                <w:szCs w:val="24"/>
                <w:highlight w:val="none"/>
              </w:rPr>
            </w:pPr>
          </w:p>
          <w:p w14:paraId="53C572B0">
            <w:pPr>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年  月  日</w:t>
            </w:r>
          </w:p>
        </w:tc>
        <w:tc>
          <w:tcPr>
            <w:tcW w:w="3800" w:type="dxa"/>
            <w:gridSpan w:val="5"/>
            <w:vAlign w:val="center"/>
          </w:tcPr>
          <w:p w14:paraId="5E8EB998">
            <w:pPr>
              <w:rPr>
                <w:rFonts w:ascii="宋体" w:hAnsi="宋体" w:eastAsia="宋体" w:cs="Times New Roman"/>
                <w:color w:val="auto"/>
                <w:sz w:val="24"/>
                <w:szCs w:val="24"/>
                <w:highlight w:val="none"/>
              </w:rPr>
            </w:pPr>
          </w:p>
          <w:p w14:paraId="2AADACBE">
            <w:pPr>
              <w:rPr>
                <w:rFonts w:ascii="宋体" w:hAnsi="宋体" w:eastAsia="宋体" w:cs="Times New Roman"/>
                <w:color w:val="auto"/>
                <w:sz w:val="24"/>
                <w:szCs w:val="24"/>
                <w:highlight w:val="none"/>
              </w:rPr>
            </w:pPr>
          </w:p>
          <w:p w14:paraId="5850384E">
            <w:pPr>
              <w:rPr>
                <w:rFonts w:ascii="宋体" w:hAnsi="宋体" w:eastAsia="宋体" w:cs="Times New Roman"/>
                <w:color w:val="auto"/>
                <w:sz w:val="24"/>
                <w:szCs w:val="24"/>
                <w:highlight w:val="none"/>
              </w:rPr>
            </w:pPr>
          </w:p>
          <w:p w14:paraId="27616B44">
            <w:pPr>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备案单位盖章</w:t>
            </w:r>
          </w:p>
          <w:p w14:paraId="789238F8">
            <w:pPr>
              <w:rPr>
                <w:rFonts w:ascii="宋体" w:hAnsi="宋体" w:eastAsia="宋体" w:cs="Times New Roman"/>
                <w:color w:val="auto"/>
                <w:sz w:val="24"/>
                <w:szCs w:val="24"/>
                <w:highlight w:val="none"/>
              </w:rPr>
            </w:pPr>
          </w:p>
          <w:p w14:paraId="5073E30E">
            <w:pPr>
              <w:rPr>
                <w:rFonts w:ascii="宋体" w:hAnsi="宋体" w:eastAsia="宋体" w:cs="Times New Roman"/>
                <w:color w:val="auto"/>
                <w:sz w:val="24"/>
                <w:szCs w:val="24"/>
                <w:highlight w:val="none"/>
              </w:rPr>
            </w:pPr>
          </w:p>
          <w:p w14:paraId="1B71F869">
            <w:pPr>
              <w:rPr>
                <w:rFonts w:ascii="宋体" w:hAnsi="宋体" w:eastAsia="宋体" w:cs="Times New Roman"/>
                <w:color w:val="auto"/>
                <w:sz w:val="24"/>
                <w:szCs w:val="24"/>
                <w:highlight w:val="none"/>
              </w:rPr>
            </w:pPr>
          </w:p>
          <w:p w14:paraId="13709B94">
            <w:pPr>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年  月  日</w:t>
            </w:r>
          </w:p>
        </w:tc>
      </w:tr>
    </w:tbl>
    <w:p w14:paraId="7E7ACEF1">
      <w:pPr>
        <w:jc w:val="center"/>
        <w:rPr>
          <w:rFonts w:ascii="宋体" w:hAnsi="宋体" w:eastAsia="宋体" w:cs="Times New Roman"/>
          <w:color w:val="auto"/>
          <w:spacing w:val="30"/>
          <w:sz w:val="44"/>
          <w:szCs w:val="44"/>
          <w:highlight w:val="none"/>
        </w:rPr>
      </w:pPr>
    </w:p>
    <w:p w14:paraId="739D1ABE">
      <w:pPr>
        <w:rPr>
          <w:rFonts w:ascii="Times New Roman" w:hAnsi="Times New Roman" w:eastAsia="宋体" w:cs="Times New Roman"/>
          <w:color w:val="auto"/>
          <w:szCs w:val="24"/>
          <w:highlight w:val="none"/>
        </w:rPr>
      </w:pPr>
    </w:p>
    <w:p w14:paraId="6BD888E0">
      <w:pPr>
        <w:rPr>
          <w:rFonts w:ascii="Times New Roman" w:hAnsi="Times New Roman" w:eastAsia="宋体" w:cs="Times New Roman"/>
          <w:color w:val="auto"/>
          <w:szCs w:val="24"/>
          <w:highlight w:val="none"/>
        </w:rPr>
      </w:pPr>
    </w:p>
    <w:p w14:paraId="0CDAAF85">
      <w:pPr>
        <w:rPr>
          <w:rFonts w:ascii="Times New Roman" w:hAnsi="Times New Roman" w:eastAsia="宋体" w:cs="Times New Roman"/>
          <w:color w:val="auto"/>
          <w:szCs w:val="24"/>
          <w:highlight w:val="none"/>
        </w:rPr>
      </w:pPr>
    </w:p>
    <w:p w14:paraId="1CAF5F7A">
      <w:pPr>
        <w:jc w:val="center"/>
        <w:rPr>
          <w:rFonts w:ascii="宋体" w:hAnsi="宋体" w:eastAsia="宋体" w:cs="Times New Roman"/>
          <w:color w:val="auto"/>
          <w:spacing w:val="30"/>
          <w:sz w:val="44"/>
          <w:szCs w:val="44"/>
          <w:highlight w:val="none"/>
        </w:rPr>
      </w:pPr>
      <w:r>
        <w:rPr>
          <w:rFonts w:hint="eastAsia" w:ascii="宋体" w:hAnsi="宋体" w:eastAsia="宋体" w:cs="Times New Roman"/>
          <w:color w:val="auto"/>
          <w:spacing w:val="30"/>
          <w:sz w:val="44"/>
          <w:szCs w:val="44"/>
          <w:highlight w:val="none"/>
        </w:rPr>
        <w:t>资产评估结果</w:t>
      </w:r>
    </w:p>
    <w:p w14:paraId="63BF4AC5">
      <w:pPr>
        <w:ind w:firstLine="201" w:firstLineChars="72"/>
        <w:rPr>
          <w:rFonts w:ascii="宋体" w:hAnsi="宋体" w:eastAsia="宋体" w:cs="Times New Roman"/>
          <w:color w:val="auto"/>
          <w:spacing w:val="20"/>
          <w:sz w:val="24"/>
          <w:szCs w:val="24"/>
          <w:highlight w:val="none"/>
        </w:rPr>
      </w:pPr>
    </w:p>
    <w:p w14:paraId="5A56B470">
      <w:pPr>
        <w:ind w:right="-1155" w:rightChars="-550"/>
        <w:jc w:val="left"/>
        <w:rPr>
          <w:rFonts w:ascii="宋体" w:hAnsi="宋体" w:eastAsia="宋体" w:cs="Times New Roman"/>
          <w:color w:val="auto"/>
          <w:spacing w:val="20"/>
          <w:sz w:val="24"/>
          <w:szCs w:val="24"/>
          <w:highlight w:val="none"/>
        </w:rPr>
      </w:pPr>
      <w:r>
        <w:rPr>
          <w:rFonts w:hint="eastAsia" w:ascii="宋体" w:hAnsi="宋体" w:eastAsia="宋体" w:cs="Times New Roman"/>
          <w:color w:val="auto"/>
          <w:spacing w:val="20"/>
          <w:sz w:val="24"/>
          <w:szCs w:val="24"/>
          <w:highlight w:val="none"/>
        </w:rPr>
        <w:t>评　估　基　准　日：</w:t>
      </w:r>
      <w:r>
        <w:rPr>
          <w:rFonts w:hint="eastAsia" w:ascii="宋体" w:hAnsi="宋体" w:eastAsia="宋体" w:cs="Times New Roman"/>
          <w:color w:val="auto"/>
          <w:spacing w:val="20"/>
          <w:sz w:val="24"/>
          <w:szCs w:val="24"/>
          <w:highlight w:val="none"/>
          <w:lang w:val="en-US" w:eastAsia="zh-CN"/>
        </w:rPr>
        <w:t>2025</w:t>
      </w:r>
      <w:r>
        <w:rPr>
          <w:rFonts w:hint="eastAsia" w:ascii="宋体" w:hAnsi="宋体" w:eastAsia="宋体" w:cs="Times New Roman"/>
          <w:color w:val="auto"/>
          <w:spacing w:val="20"/>
          <w:sz w:val="24"/>
          <w:szCs w:val="24"/>
          <w:highlight w:val="none"/>
        </w:rPr>
        <w:t>年</w:t>
      </w:r>
      <w:r>
        <w:rPr>
          <w:rFonts w:hint="eastAsia" w:ascii="宋体" w:hAnsi="宋体" w:eastAsia="宋体" w:cs="Times New Roman"/>
          <w:color w:val="auto"/>
          <w:spacing w:val="20"/>
          <w:sz w:val="24"/>
          <w:szCs w:val="24"/>
          <w:highlight w:val="none"/>
          <w:lang w:val="en-US" w:eastAsia="zh-CN"/>
        </w:rPr>
        <w:t>11</w:t>
      </w:r>
      <w:r>
        <w:rPr>
          <w:rFonts w:hint="eastAsia" w:ascii="宋体" w:hAnsi="宋体" w:eastAsia="宋体" w:cs="Times New Roman"/>
          <w:color w:val="auto"/>
          <w:spacing w:val="20"/>
          <w:sz w:val="24"/>
          <w:szCs w:val="24"/>
          <w:highlight w:val="none"/>
        </w:rPr>
        <w:t>月</w:t>
      </w:r>
      <w:r>
        <w:rPr>
          <w:rFonts w:hint="eastAsia" w:ascii="宋体" w:hAnsi="宋体" w:eastAsia="宋体" w:cs="Times New Roman"/>
          <w:color w:val="auto"/>
          <w:spacing w:val="20"/>
          <w:sz w:val="24"/>
          <w:szCs w:val="24"/>
          <w:highlight w:val="none"/>
          <w:lang w:val="en-US" w:eastAsia="zh-CN"/>
        </w:rPr>
        <w:t>1</w:t>
      </w:r>
      <w:r>
        <w:rPr>
          <w:rFonts w:hint="eastAsia" w:ascii="宋体" w:hAnsi="宋体" w:eastAsia="宋体" w:cs="Times New Roman"/>
          <w:color w:val="auto"/>
          <w:spacing w:val="20"/>
          <w:sz w:val="24"/>
          <w:szCs w:val="24"/>
          <w:highlight w:val="none"/>
        </w:rPr>
        <w:t>日</w:t>
      </w:r>
    </w:p>
    <w:p w14:paraId="1C1B012C">
      <w:pPr>
        <w:jc w:val="left"/>
        <w:rPr>
          <w:rFonts w:ascii="宋体" w:hAnsi="宋体" w:eastAsia="宋体" w:cs="Times New Roman"/>
          <w:color w:val="auto"/>
          <w:spacing w:val="20"/>
          <w:sz w:val="24"/>
          <w:szCs w:val="24"/>
          <w:highlight w:val="none"/>
        </w:rPr>
      </w:pPr>
      <w:r>
        <w:rPr>
          <w:rFonts w:hint="eastAsia" w:ascii="宋体" w:hAnsi="宋体" w:eastAsia="宋体" w:cs="Times New Roman"/>
          <w:color w:val="auto"/>
          <w:spacing w:val="20"/>
          <w:sz w:val="24"/>
          <w:szCs w:val="24"/>
          <w:highlight w:val="none"/>
        </w:rPr>
        <w:t>评估结果使用有效期至：</w:t>
      </w:r>
      <w:r>
        <w:rPr>
          <w:rFonts w:hint="eastAsia" w:ascii="宋体" w:hAnsi="宋体" w:eastAsia="宋体" w:cs="Times New Roman"/>
          <w:color w:val="auto"/>
          <w:spacing w:val="20"/>
          <w:sz w:val="24"/>
          <w:szCs w:val="24"/>
          <w:highlight w:val="none"/>
          <w:lang w:val="en-US" w:eastAsia="zh-CN"/>
        </w:rPr>
        <w:t>2026</w:t>
      </w:r>
      <w:r>
        <w:rPr>
          <w:rFonts w:hint="eastAsia" w:ascii="宋体" w:hAnsi="宋体" w:eastAsia="宋体" w:cs="Times New Roman"/>
          <w:color w:val="auto"/>
          <w:spacing w:val="20"/>
          <w:sz w:val="24"/>
          <w:szCs w:val="24"/>
          <w:highlight w:val="none"/>
        </w:rPr>
        <w:t>年</w:t>
      </w:r>
      <w:r>
        <w:rPr>
          <w:rFonts w:hint="eastAsia" w:ascii="宋体" w:hAnsi="宋体" w:eastAsia="宋体" w:cs="Times New Roman"/>
          <w:color w:val="auto"/>
          <w:spacing w:val="20"/>
          <w:sz w:val="24"/>
          <w:szCs w:val="24"/>
          <w:highlight w:val="none"/>
          <w:lang w:val="en-US" w:eastAsia="zh-CN"/>
        </w:rPr>
        <w:t>10</w:t>
      </w:r>
      <w:r>
        <w:rPr>
          <w:rFonts w:hint="eastAsia" w:ascii="宋体" w:hAnsi="宋体" w:eastAsia="宋体" w:cs="Times New Roman"/>
          <w:color w:val="auto"/>
          <w:spacing w:val="20"/>
          <w:sz w:val="24"/>
          <w:szCs w:val="24"/>
          <w:highlight w:val="none"/>
        </w:rPr>
        <w:t>月</w:t>
      </w:r>
      <w:r>
        <w:rPr>
          <w:rFonts w:hint="eastAsia" w:ascii="宋体" w:hAnsi="宋体" w:eastAsia="宋体" w:cs="Times New Roman"/>
          <w:color w:val="auto"/>
          <w:spacing w:val="20"/>
          <w:sz w:val="24"/>
          <w:szCs w:val="24"/>
          <w:highlight w:val="none"/>
          <w:lang w:val="en-US" w:eastAsia="zh-CN"/>
        </w:rPr>
        <w:t>31</w:t>
      </w:r>
      <w:r>
        <w:rPr>
          <w:rFonts w:hint="eastAsia" w:ascii="宋体" w:hAnsi="宋体" w:eastAsia="宋体" w:cs="Times New Roman"/>
          <w:color w:val="auto"/>
          <w:spacing w:val="20"/>
          <w:sz w:val="24"/>
          <w:szCs w:val="24"/>
          <w:highlight w:val="none"/>
        </w:rPr>
        <w:t>日 金额单位：人民币万元</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2"/>
        <w:gridCol w:w="1238"/>
        <w:gridCol w:w="1738"/>
        <w:gridCol w:w="1337"/>
        <w:gridCol w:w="1407"/>
      </w:tblGrid>
      <w:tr w14:paraId="33658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802" w:type="dxa"/>
            <w:vAlign w:val="center"/>
          </w:tcPr>
          <w:p w14:paraId="33E797CF">
            <w:pPr>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项  目</w:t>
            </w:r>
          </w:p>
        </w:tc>
        <w:tc>
          <w:tcPr>
            <w:tcW w:w="1238" w:type="dxa"/>
            <w:vAlign w:val="center"/>
          </w:tcPr>
          <w:p w14:paraId="7E5E558C">
            <w:pPr>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账面价值</w:t>
            </w:r>
          </w:p>
        </w:tc>
        <w:tc>
          <w:tcPr>
            <w:tcW w:w="1738" w:type="dxa"/>
            <w:vAlign w:val="center"/>
          </w:tcPr>
          <w:p w14:paraId="5C1C835A">
            <w:pPr>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评估价值</w:t>
            </w:r>
          </w:p>
        </w:tc>
        <w:tc>
          <w:tcPr>
            <w:tcW w:w="1337" w:type="dxa"/>
            <w:vAlign w:val="center"/>
          </w:tcPr>
          <w:p w14:paraId="53AC427F">
            <w:pPr>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增减值</w:t>
            </w:r>
          </w:p>
        </w:tc>
        <w:tc>
          <w:tcPr>
            <w:tcW w:w="1407" w:type="dxa"/>
            <w:vAlign w:val="center"/>
          </w:tcPr>
          <w:p w14:paraId="51ABB70D">
            <w:pPr>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增减率</w:t>
            </w:r>
          </w:p>
          <w:p w14:paraId="4AB7ACB7">
            <w:pPr>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p>
        </w:tc>
      </w:tr>
      <w:tr w14:paraId="17690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802" w:type="dxa"/>
            <w:vAlign w:val="center"/>
          </w:tcPr>
          <w:p w14:paraId="1761FA0C">
            <w:pPr>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流动资产</w:t>
            </w:r>
          </w:p>
        </w:tc>
        <w:tc>
          <w:tcPr>
            <w:tcW w:w="1238" w:type="dxa"/>
            <w:vAlign w:val="center"/>
          </w:tcPr>
          <w:p w14:paraId="594E0DF0">
            <w:pPr>
              <w:jc w:val="center"/>
              <w:rPr>
                <w:rFonts w:ascii="宋体" w:hAnsi="宋体" w:eastAsia="宋体" w:cs="Times New Roman"/>
                <w:color w:val="auto"/>
                <w:sz w:val="24"/>
                <w:szCs w:val="24"/>
                <w:highlight w:val="none"/>
              </w:rPr>
            </w:pPr>
          </w:p>
        </w:tc>
        <w:tc>
          <w:tcPr>
            <w:tcW w:w="1738" w:type="dxa"/>
            <w:vAlign w:val="center"/>
          </w:tcPr>
          <w:p w14:paraId="02362A5D">
            <w:pPr>
              <w:jc w:val="center"/>
              <w:rPr>
                <w:rFonts w:ascii="宋体" w:hAnsi="宋体" w:eastAsia="宋体" w:cs="Times New Roman"/>
                <w:color w:val="auto"/>
                <w:sz w:val="24"/>
                <w:szCs w:val="24"/>
                <w:highlight w:val="none"/>
              </w:rPr>
            </w:pPr>
          </w:p>
        </w:tc>
        <w:tc>
          <w:tcPr>
            <w:tcW w:w="1337" w:type="dxa"/>
            <w:vAlign w:val="center"/>
          </w:tcPr>
          <w:p w14:paraId="03468BE7">
            <w:pPr>
              <w:jc w:val="center"/>
              <w:rPr>
                <w:rFonts w:ascii="宋体" w:hAnsi="宋体" w:eastAsia="宋体" w:cs="Times New Roman"/>
                <w:color w:val="auto"/>
                <w:sz w:val="24"/>
                <w:szCs w:val="24"/>
                <w:highlight w:val="none"/>
              </w:rPr>
            </w:pPr>
          </w:p>
        </w:tc>
        <w:tc>
          <w:tcPr>
            <w:tcW w:w="1407" w:type="dxa"/>
            <w:vAlign w:val="center"/>
          </w:tcPr>
          <w:p w14:paraId="57CE57E4">
            <w:pPr>
              <w:jc w:val="center"/>
              <w:rPr>
                <w:rFonts w:ascii="宋体" w:hAnsi="宋体" w:eastAsia="宋体" w:cs="Times New Roman"/>
                <w:color w:val="auto"/>
                <w:sz w:val="24"/>
                <w:szCs w:val="24"/>
                <w:highlight w:val="none"/>
              </w:rPr>
            </w:pPr>
          </w:p>
        </w:tc>
      </w:tr>
      <w:tr w14:paraId="555E3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802" w:type="dxa"/>
            <w:vAlign w:val="center"/>
          </w:tcPr>
          <w:p w14:paraId="6249F365">
            <w:pPr>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非流动资产</w:t>
            </w:r>
          </w:p>
        </w:tc>
        <w:tc>
          <w:tcPr>
            <w:tcW w:w="1238" w:type="dxa"/>
            <w:vAlign w:val="center"/>
          </w:tcPr>
          <w:p w14:paraId="38C1AAA0">
            <w:pPr>
              <w:jc w:val="center"/>
              <w:rPr>
                <w:rFonts w:ascii="宋体" w:hAnsi="宋体" w:eastAsia="宋体" w:cs="Times New Roman"/>
                <w:color w:val="auto"/>
                <w:sz w:val="24"/>
                <w:szCs w:val="24"/>
                <w:highlight w:val="none"/>
              </w:rPr>
            </w:pPr>
          </w:p>
        </w:tc>
        <w:tc>
          <w:tcPr>
            <w:tcW w:w="1738" w:type="dxa"/>
            <w:shd w:val="clear" w:color="auto" w:fill="auto"/>
            <w:vAlign w:val="center"/>
          </w:tcPr>
          <w:p w14:paraId="2CA177CC">
            <w:pPr>
              <w:jc w:val="center"/>
              <w:rPr>
                <w:rFonts w:hint="default" w:ascii="宋体" w:hAnsi="宋体" w:eastAsia="宋体" w:cs="Times New Roman"/>
                <w:color w:val="auto"/>
                <w:kern w:val="2"/>
                <w:sz w:val="24"/>
                <w:szCs w:val="24"/>
                <w:highlight w:val="none"/>
                <w:lang w:val="en-US" w:eastAsia="zh-CN" w:bidi="ar-SA"/>
              </w:rPr>
            </w:pPr>
          </w:p>
        </w:tc>
        <w:tc>
          <w:tcPr>
            <w:tcW w:w="1337" w:type="dxa"/>
            <w:vAlign w:val="center"/>
          </w:tcPr>
          <w:p w14:paraId="11AA3C37">
            <w:pPr>
              <w:jc w:val="center"/>
              <w:rPr>
                <w:rFonts w:ascii="宋体" w:hAnsi="宋体" w:eastAsia="宋体" w:cs="Times New Roman"/>
                <w:color w:val="auto"/>
                <w:sz w:val="24"/>
                <w:szCs w:val="24"/>
                <w:highlight w:val="none"/>
              </w:rPr>
            </w:pPr>
          </w:p>
        </w:tc>
        <w:tc>
          <w:tcPr>
            <w:tcW w:w="1407" w:type="dxa"/>
            <w:vAlign w:val="center"/>
          </w:tcPr>
          <w:p w14:paraId="47FEC3C2">
            <w:pPr>
              <w:jc w:val="center"/>
              <w:rPr>
                <w:rFonts w:ascii="宋体" w:hAnsi="宋体" w:eastAsia="宋体" w:cs="Times New Roman"/>
                <w:color w:val="auto"/>
                <w:sz w:val="24"/>
                <w:szCs w:val="24"/>
                <w:highlight w:val="none"/>
              </w:rPr>
            </w:pPr>
          </w:p>
        </w:tc>
      </w:tr>
      <w:tr w14:paraId="66C46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802" w:type="dxa"/>
            <w:vAlign w:val="center"/>
          </w:tcPr>
          <w:p w14:paraId="1405801C">
            <w:pPr>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其中：长期股权投资</w:t>
            </w:r>
          </w:p>
        </w:tc>
        <w:tc>
          <w:tcPr>
            <w:tcW w:w="1238" w:type="dxa"/>
            <w:vAlign w:val="center"/>
          </w:tcPr>
          <w:p w14:paraId="51925DE5">
            <w:pPr>
              <w:jc w:val="center"/>
              <w:rPr>
                <w:rFonts w:ascii="宋体" w:hAnsi="宋体" w:eastAsia="宋体" w:cs="Times New Roman"/>
                <w:color w:val="auto"/>
                <w:sz w:val="24"/>
                <w:szCs w:val="24"/>
                <w:highlight w:val="none"/>
              </w:rPr>
            </w:pPr>
          </w:p>
        </w:tc>
        <w:tc>
          <w:tcPr>
            <w:tcW w:w="1738" w:type="dxa"/>
            <w:shd w:val="clear" w:color="auto" w:fill="auto"/>
            <w:vAlign w:val="center"/>
          </w:tcPr>
          <w:p w14:paraId="6D5D057A">
            <w:pPr>
              <w:jc w:val="center"/>
              <w:rPr>
                <w:rFonts w:ascii="宋体" w:hAnsi="宋体" w:eastAsia="宋体" w:cs="Times New Roman"/>
                <w:color w:val="auto"/>
                <w:kern w:val="2"/>
                <w:sz w:val="24"/>
                <w:szCs w:val="24"/>
                <w:highlight w:val="none"/>
                <w:lang w:val="en-US" w:eastAsia="zh-CN" w:bidi="ar-SA"/>
              </w:rPr>
            </w:pPr>
          </w:p>
        </w:tc>
        <w:tc>
          <w:tcPr>
            <w:tcW w:w="1337" w:type="dxa"/>
            <w:vAlign w:val="center"/>
          </w:tcPr>
          <w:p w14:paraId="48615BE1">
            <w:pPr>
              <w:jc w:val="center"/>
              <w:rPr>
                <w:rFonts w:ascii="宋体" w:hAnsi="宋体" w:eastAsia="宋体" w:cs="Times New Roman"/>
                <w:color w:val="auto"/>
                <w:sz w:val="24"/>
                <w:szCs w:val="24"/>
                <w:highlight w:val="none"/>
              </w:rPr>
            </w:pPr>
          </w:p>
        </w:tc>
        <w:tc>
          <w:tcPr>
            <w:tcW w:w="1407" w:type="dxa"/>
            <w:vAlign w:val="center"/>
          </w:tcPr>
          <w:p w14:paraId="484A6381">
            <w:pPr>
              <w:jc w:val="center"/>
              <w:rPr>
                <w:rFonts w:ascii="宋体" w:hAnsi="宋体" w:eastAsia="宋体" w:cs="Times New Roman"/>
                <w:color w:val="auto"/>
                <w:sz w:val="24"/>
                <w:szCs w:val="24"/>
                <w:highlight w:val="none"/>
              </w:rPr>
            </w:pPr>
          </w:p>
        </w:tc>
      </w:tr>
      <w:tr w14:paraId="0D032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802" w:type="dxa"/>
            <w:vAlign w:val="center"/>
          </w:tcPr>
          <w:p w14:paraId="0E517E51">
            <w:pPr>
              <w:ind w:firstLine="600" w:firstLineChars="250"/>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投资性房地产</w:t>
            </w:r>
          </w:p>
        </w:tc>
        <w:tc>
          <w:tcPr>
            <w:tcW w:w="1238" w:type="dxa"/>
            <w:vAlign w:val="center"/>
          </w:tcPr>
          <w:p w14:paraId="55CD882C">
            <w:pPr>
              <w:jc w:val="center"/>
              <w:rPr>
                <w:rFonts w:ascii="宋体" w:hAnsi="宋体" w:eastAsia="宋体" w:cs="Times New Roman"/>
                <w:color w:val="auto"/>
                <w:sz w:val="24"/>
                <w:szCs w:val="24"/>
                <w:highlight w:val="none"/>
              </w:rPr>
            </w:pPr>
          </w:p>
        </w:tc>
        <w:tc>
          <w:tcPr>
            <w:tcW w:w="1738" w:type="dxa"/>
            <w:shd w:val="clear" w:color="auto" w:fill="auto"/>
            <w:vAlign w:val="center"/>
          </w:tcPr>
          <w:p w14:paraId="3ED1CB50">
            <w:pPr>
              <w:jc w:val="center"/>
              <w:rPr>
                <w:rFonts w:ascii="宋体" w:hAnsi="宋体" w:eastAsia="宋体" w:cs="Times New Roman"/>
                <w:color w:val="auto"/>
                <w:kern w:val="2"/>
                <w:sz w:val="24"/>
                <w:szCs w:val="24"/>
                <w:highlight w:val="none"/>
                <w:lang w:val="en-US" w:eastAsia="zh-CN" w:bidi="ar-SA"/>
              </w:rPr>
            </w:pPr>
          </w:p>
        </w:tc>
        <w:tc>
          <w:tcPr>
            <w:tcW w:w="1337" w:type="dxa"/>
            <w:vAlign w:val="center"/>
          </w:tcPr>
          <w:p w14:paraId="15933088">
            <w:pPr>
              <w:jc w:val="center"/>
              <w:rPr>
                <w:rFonts w:ascii="宋体" w:hAnsi="宋体" w:eastAsia="宋体" w:cs="Times New Roman"/>
                <w:color w:val="auto"/>
                <w:sz w:val="24"/>
                <w:szCs w:val="24"/>
                <w:highlight w:val="none"/>
              </w:rPr>
            </w:pPr>
          </w:p>
        </w:tc>
        <w:tc>
          <w:tcPr>
            <w:tcW w:w="1407" w:type="dxa"/>
            <w:vAlign w:val="center"/>
          </w:tcPr>
          <w:p w14:paraId="4C3E1AC2">
            <w:pPr>
              <w:jc w:val="center"/>
              <w:rPr>
                <w:rFonts w:ascii="宋体" w:hAnsi="宋体" w:eastAsia="宋体" w:cs="Times New Roman"/>
                <w:color w:val="auto"/>
                <w:sz w:val="24"/>
                <w:szCs w:val="24"/>
                <w:highlight w:val="none"/>
              </w:rPr>
            </w:pPr>
          </w:p>
        </w:tc>
      </w:tr>
      <w:tr w14:paraId="6473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802" w:type="dxa"/>
            <w:vAlign w:val="center"/>
          </w:tcPr>
          <w:p w14:paraId="070438D1">
            <w:pPr>
              <w:ind w:firstLine="600" w:firstLineChars="250"/>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固定资产</w:t>
            </w:r>
          </w:p>
        </w:tc>
        <w:tc>
          <w:tcPr>
            <w:tcW w:w="1238" w:type="dxa"/>
            <w:vAlign w:val="center"/>
          </w:tcPr>
          <w:p w14:paraId="36995CAC">
            <w:pPr>
              <w:jc w:val="center"/>
              <w:rPr>
                <w:rFonts w:ascii="宋体" w:hAnsi="宋体" w:eastAsia="宋体" w:cs="Times New Roman"/>
                <w:color w:val="auto"/>
                <w:sz w:val="24"/>
                <w:szCs w:val="24"/>
                <w:highlight w:val="none"/>
              </w:rPr>
            </w:pPr>
          </w:p>
        </w:tc>
        <w:tc>
          <w:tcPr>
            <w:tcW w:w="1738" w:type="dxa"/>
            <w:shd w:val="clear" w:color="auto" w:fill="auto"/>
            <w:vAlign w:val="center"/>
          </w:tcPr>
          <w:p w14:paraId="31314B52">
            <w:pPr>
              <w:jc w:val="center"/>
              <w:rPr>
                <w:rFonts w:ascii="宋体" w:hAnsi="宋体" w:eastAsia="宋体" w:cs="Times New Roman"/>
                <w:color w:val="auto"/>
                <w:kern w:val="2"/>
                <w:sz w:val="24"/>
                <w:szCs w:val="24"/>
                <w:highlight w:val="none"/>
                <w:lang w:val="en-US" w:eastAsia="zh-CN" w:bidi="ar-SA"/>
              </w:rPr>
            </w:pPr>
          </w:p>
        </w:tc>
        <w:tc>
          <w:tcPr>
            <w:tcW w:w="1337" w:type="dxa"/>
            <w:vAlign w:val="center"/>
          </w:tcPr>
          <w:p w14:paraId="06571871">
            <w:pPr>
              <w:jc w:val="center"/>
              <w:rPr>
                <w:rFonts w:ascii="宋体" w:hAnsi="宋体" w:eastAsia="宋体" w:cs="Times New Roman"/>
                <w:color w:val="auto"/>
                <w:sz w:val="24"/>
                <w:szCs w:val="24"/>
                <w:highlight w:val="none"/>
              </w:rPr>
            </w:pPr>
          </w:p>
        </w:tc>
        <w:tc>
          <w:tcPr>
            <w:tcW w:w="1407" w:type="dxa"/>
            <w:vAlign w:val="center"/>
          </w:tcPr>
          <w:p w14:paraId="09FD9713">
            <w:pPr>
              <w:jc w:val="center"/>
              <w:rPr>
                <w:rFonts w:ascii="宋体" w:hAnsi="宋体" w:eastAsia="宋体" w:cs="Times New Roman"/>
                <w:color w:val="auto"/>
                <w:sz w:val="24"/>
                <w:szCs w:val="24"/>
                <w:highlight w:val="none"/>
              </w:rPr>
            </w:pPr>
          </w:p>
        </w:tc>
      </w:tr>
      <w:tr w14:paraId="7746F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802" w:type="dxa"/>
            <w:vAlign w:val="center"/>
          </w:tcPr>
          <w:p w14:paraId="4D4D183E">
            <w:pPr>
              <w:ind w:firstLine="600" w:firstLineChars="250"/>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在建工程</w:t>
            </w:r>
          </w:p>
        </w:tc>
        <w:tc>
          <w:tcPr>
            <w:tcW w:w="1238" w:type="dxa"/>
            <w:vAlign w:val="center"/>
          </w:tcPr>
          <w:p w14:paraId="2687423A">
            <w:pPr>
              <w:jc w:val="center"/>
              <w:rPr>
                <w:rFonts w:ascii="宋体" w:hAnsi="宋体" w:eastAsia="宋体" w:cs="Times New Roman"/>
                <w:color w:val="auto"/>
                <w:sz w:val="24"/>
                <w:szCs w:val="24"/>
                <w:highlight w:val="none"/>
              </w:rPr>
            </w:pPr>
          </w:p>
        </w:tc>
        <w:tc>
          <w:tcPr>
            <w:tcW w:w="1738" w:type="dxa"/>
            <w:shd w:val="clear" w:color="auto" w:fill="auto"/>
            <w:vAlign w:val="center"/>
          </w:tcPr>
          <w:p w14:paraId="12D0BD82">
            <w:pPr>
              <w:jc w:val="center"/>
              <w:rPr>
                <w:rFonts w:ascii="宋体" w:hAnsi="宋体" w:eastAsia="宋体" w:cs="Times New Roman"/>
                <w:color w:val="auto"/>
                <w:kern w:val="2"/>
                <w:sz w:val="24"/>
                <w:szCs w:val="24"/>
                <w:highlight w:val="none"/>
                <w:lang w:val="en-US" w:eastAsia="zh-CN" w:bidi="ar-SA"/>
              </w:rPr>
            </w:pPr>
          </w:p>
        </w:tc>
        <w:tc>
          <w:tcPr>
            <w:tcW w:w="1337" w:type="dxa"/>
            <w:vAlign w:val="center"/>
          </w:tcPr>
          <w:p w14:paraId="439FA211">
            <w:pPr>
              <w:jc w:val="center"/>
              <w:rPr>
                <w:rFonts w:ascii="宋体" w:hAnsi="宋体" w:eastAsia="宋体" w:cs="Times New Roman"/>
                <w:color w:val="auto"/>
                <w:sz w:val="24"/>
                <w:szCs w:val="24"/>
                <w:highlight w:val="none"/>
              </w:rPr>
            </w:pPr>
          </w:p>
        </w:tc>
        <w:tc>
          <w:tcPr>
            <w:tcW w:w="1407" w:type="dxa"/>
            <w:vAlign w:val="center"/>
          </w:tcPr>
          <w:p w14:paraId="35FEF262">
            <w:pPr>
              <w:jc w:val="center"/>
              <w:rPr>
                <w:rFonts w:ascii="宋体" w:hAnsi="宋体" w:eastAsia="宋体" w:cs="Times New Roman"/>
                <w:color w:val="auto"/>
                <w:sz w:val="24"/>
                <w:szCs w:val="24"/>
                <w:highlight w:val="none"/>
              </w:rPr>
            </w:pPr>
          </w:p>
        </w:tc>
      </w:tr>
      <w:tr w14:paraId="04F13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802" w:type="dxa"/>
            <w:vAlign w:val="center"/>
          </w:tcPr>
          <w:p w14:paraId="2936A80B">
            <w:pPr>
              <w:ind w:firstLine="600" w:firstLineChars="250"/>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无形资产</w:t>
            </w:r>
          </w:p>
        </w:tc>
        <w:tc>
          <w:tcPr>
            <w:tcW w:w="1238" w:type="dxa"/>
            <w:vAlign w:val="center"/>
          </w:tcPr>
          <w:p w14:paraId="461472D4">
            <w:pPr>
              <w:jc w:val="center"/>
              <w:rPr>
                <w:rFonts w:ascii="宋体" w:hAnsi="宋体" w:eastAsia="宋体" w:cs="Times New Roman"/>
                <w:color w:val="auto"/>
                <w:sz w:val="24"/>
                <w:szCs w:val="24"/>
                <w:highlight w:val="none"/>
              </w:rPr>
            </w:pPr>
          </w:p>
        </w:tc>
        <w:tc>
          <w:tcPr>
            <w:tcW w:w="1738" w:type="dxa"/>
            <w:shd w:val="clear" w:color="auto" w:fill="auto"/>
            <w:vAlign w:val="center"/>
          </w:tcPr>
          <w:p w14:paraId="0598D75F">
            <w:pPr>
              <w:jc w:val="center"/>
              <w:rPr>
                <w:rFonts w:ascii="宋体" w:hAnsi="宋体" w:eastAsia="宋体" w:cs="Times New Roman"/>
                <w:color w:val="auto"/>
                <w:kern w:val="2"/>
                <w:sz w:val="24"/>
                <w:szCs w:val="24"/>
                <w:highlight w:val="none"/>
                <w:lang w:val="en-US" w:eastAsia="zh-CN" w:bidi="ar-SA"/>
              </w:rPr>
            </w:pPr>
          </w:p>
        </w:tc>
        <w:tc>
          <w:tcPr>
            <w:tcW w:w="1337" w:type="dxa"/>
            <w:vAlign w:val="center"/>
          </w:tcPr>
          <w:p w14:paraId="0EA451AB">
            <w:pPr>
              <w:jc w:val="center"/>
              <w:rPr>
                <w:rFonts w:ascii="宋体" w:hAnsi="宋体" w:eastAsia="宋体" w:cs="Times New Roman"/>
                <w:color w:val="auto"/>
                <w:sz w:val="24"/>
                <w:szCs w:val="24"/>
                <w:highlight w:val="none"/>
              </w:rPr>
            </w:pPr>
          </w:p>
        </w:tc>
        <w:tc>
          <w:tcPr>
            <w:tcW w:w="1407" w:type="dxa"/>
            <w:vAlign w:val="center"/>
          </w:tcPr>
          <w:p w14:paraId="7CF1BEE9">
            <w:pPr>
              <w:jc w:val="center"/>
              <w:rPr>
                <w:rFonts w:ascii="宋体" w:hAnsi="宋体" w:eastAsia="宋体" w:cs="Times New Roman"/>
                <w:color w:val="auto"/>
                <w:sz w:val="24"/>
                <w:szCs w:val="24"/>
                <w:highlight w:val="none"/>
              </w:rPr>
            </w:pPr>
          </w:p>
        </w:tc>
      </w:tr>
      <w:tr w14:paraId="4EEC3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802" w:type="dxa"/>
            <w:vAlign w:val="center"/>
          </w:tcPr>
          <w:p w14:paraId="135448DA">
            <w:pPr>
              <w:ind w:firstLine="360" w:firstLineChars="150"/>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其中：无形资产</w:t>
            </w:r>
          </w:p>
          <w:p w14:paraId="53E6F5DF">
            <w:pPr>
              <w:ind w:firstLine="960" w:firstLineChars="400"/>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—土地使用权</w:t>
            </w:r>
          </w:p>
        </w:tc>
        <w:tc>
          <w:tcPr>
            <w:tcW w:w="1238" w:type="dxa"/>
            <w:vAlign w:val="center"/>
          </w:tcPr>
          <w:p w14:paraId="6A94DFF9">
            <w:pPr>
              <w:jc w:val="center"/>
              <w:rPr>
                <w:rFonts w:ascii="宋体" w:hAnsi="宋体" w:eastAsia="宋体" w:cs="Times New Roman"/>
                <w:color w:val="auto"/>
                <w:sz w:val="24"/>
                <w:szCs w:val="24"/>
                <w:highlight w:val="none"/>
              </w:rPr>
            </w:pPr>
          </w:p>
        </w:tc>
        <w:tc>
          <w:tcPr>
            <w:tcW w:w="1738" w:type="dxa"/>
            <w:shd w:val="clear" w:color="auto" w:fill="auto"/>
            <w:vAlign w:val="center"/>
          </w:tcPr>
          <w:p w14:paraId="2D2151B4">
            <w:pPr>
              <w:jc w:val="center"/>
              <w:rPr>
                <w:rFonts w:hint="default" w:ascii="宋体" w:hAnsi="宋体" w:eastAsia="宋体" w:cs="Times New Roman"/>
                <w:color w:val="auto"/>
                <w:kern w:val="2"/>
                <w:sz w:val="24"/>
                <w:szCs w:val="24"/>
                <w:highlight w:val="none"/>
                <w:lang w:val="en-US" w:eastAsia="zh-CN" w:bidi="ar-SA"/>
              </w:rPr>
            </w:pPr>
            <w:r>
              <w:rPr>
                <w:rFonts w:hint="eastAsia" w:ascii="仿宋_GB2312" w:hAnsi="宋体" w:eastAsia="仿宋_GB2312"/>
                <w:color w:val="auto"/>
                <w:sz w:val="24"/>
                <w:highlight w:val="none"/>
                <w:lang w:val="en-US" w:eastAsia="zh-CN"/>
              </w:rPr>
              <w:t>47.31</w:t>
            </w:r>
          </w:p>
        </w:tc>
        <w:tc>
          <w:tcPr>
            <w:tcW w:w="1337" w:type="dxa"/>
            <w:vAlign w:val="center"/>
          </w:tcPr>
          <w:p w14:paraId="45516B67">
            <w:pPr>
              <w:jc w:val="center"/>
              <w:rPr>
                <w:rFonts w:ascii="宋体" w:hAnsi="宋体" w:eastAsia="宋体" w:cs="Times New Roman"/>
                <w:color w:val="auto"/>
                <w:sz w:val="24"/>
                <w:szCs w:val="24"/>
                <w:highlight w:val="none"/>
              </w:rPr>
            </w:pPr>
          </w:p>
        </w:tc>
        <w:tc>
          <w:tcPr>
            <w:tcW w:w="1407" w:type="dxa"/>
            <w:vAlign w:val="center"/>
          </w:tcPr>
          <w:p w14:paraId="6CAEEAB8">
            <w:pPr>
              <w:jc w:val="center"/>
              <w:rPr>
                <w:rFonts w:ascii="宋体" w:hAnsi="宋体" w:eastAsia="宋体" w:cs="Times New Roman"/>
                <w:color w:val="auto"/>
                <w:sz w:val="24"/>
                <w:szCs w:val="24"/>
                <w:highlight w:val="none"/>
              </w:rPr>
            </w:pPr>
          </w:p>
        </w:tc>
      </w:tr>
      <w:tr w14:paraId="6DC1F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802" w:type="dxa"/>
            <w:vAlign w:val="center"/>
          </w:tcPr>
          <w:p w14:paraId="74DA6696">
            <w:pPr>
              <w:ind w:firstLine="600" w:firstLineChars="250"/>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其他非流动资产</w:t>
            </w:r>
          </w:p>
        </w:tc>
        <w:tc>
          <w:tcPr>
            <w:tcW w:w="1238" w:type="dxa"/>
            <w:vAlign w:val="center"/>
          </w:tcPr>
          <w:p w14:paraId="735105E5">
            <w:pPr>
              <w:jc w:val="center"/>
              <w:rPr>
                <w:rFonts w:ascii="宋体" w:hAnsi="宋体" w:eastAsia="宋体" w:cs="Times New Roman"/>
                <w:color w:val="auto"/>
                <w:sz w:val="24"/>
                <w:szCs w:val="24"/>
                <w:highlight w:val="none"/>
              </w:rPr>
            </w:pPr>
          </w:p>
        </w:tc>
        <w:tc>
          <w:tcPr>
            <w:tcW w:w="1738" w:type="dxa"/>
            <w:shd w:val="clear" w:color="auto" w:fill="auto"/>
            <w:vAlign w:val="center"/>
          </w:tcPr>
          <w:p w14:paraId="15CE73FE">
            <w:pPr>
              <w:jc w:val="center"/>
              <w:rPr>
                <w:rFonts w:ascii="宋体" w:hAnsi="宋体" w:eastAsia="宋体" w:cs="Times New Roman"/>
                <w:color w:val="auto"/>
                <w:kern w:val="2"/>
                <w:sz w:val="24"/>
                <w:szCs w:val="24"/>
                <w:highlight w:val="none"/>
                <w:lang w:val="en-US" w:eastAsia="zh-CN" w:bidi="ar-SA"/>
              </w:rPr>
            </w:pPr>
          </w:p>
        </w:tc>
        <w:tc>
          <w:tcPr>
            <w:tcW w:w="1337" w:type="dxa"/>
            <w:vAlign w:val="center"/>
          </w:tcPr>
          <w:p w14:paraId="204148E6">
            <w:pPr>
              <w:jc w:val="center"/>
              <w:rPr>
                <w:rFonts w:ascii="宋体" w:hAnsi="宋体" w:eastAsia="宋体" w:cs="Times New Roman"/>
                <w:color w:val="auto"/>
                <w:sz w:val="24"/>
                <w:szCs w:val="24"/>
                <w:highlight w:val="none"/>
              </w:rPr>
            </w:pPr>
          </w:p>
        </w:tc>
        <w:tc>
          <w:tcPr>
            <w:tcW w:w="1407" w:type="dxa"/>
            <w:vAlign w:val="center"/>
          </w:tcPr>
          <w:p w14:paraId="5CB3D3E1">
            <w:pPr>
              <w:jc w:val="center"/>
              <w:rPr>
                <w:rFonts w:ascii="宋体" w:hAnsi="宋体" w:eastAsia="宋体" w:cs="Times New Roman"/>
                <w:color w:val="auto"/>
                <w:sz w:val="24"/>
                <w:szCs w:val="24"/>
                <w:highlight w:val="none"/>
              </w:rPr>
            </w:pPr>
          </w:p>
        </w:tc>
      </w:tr>
      <w:tr w14:paraId="16265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802" w:type="dxa"/>
            <w:vAlign w:val="center"/>
          </w:tcPr>
          <w:p w14:paraId="28E46062">
            <w:pPr>
              <w:jc w:val="center"/>
              <w:rPr>
                <w:rFonts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资产总计</w:t>
            </w:r>
          </w:p>
        </w:tc>
        <w:tc>
          <w:tcPr>
            <w:tcW w:w="1238" w:type="dxa"/>
            <w:vAlign w:val="center"/>
          </w:tcPr>
          <w:p w14:paraId="75B6A00B">
            <w:pPr>
              <w:jc w:val="center"/>
              <w:rPr>
                <w:rFonts w:ascii="宋体" w:hAnsi="宋体" w:eastAsia="宋体" w:cs="Times New Roman"/>
                <w:color w:val="auto"/>
                <w:sz w:val="24"/>
                <w:szCs w:val="24"/>
                <w:highlight w:val="none"/>
              </w:rPr>
            </w:pPr>
          </w:p>
        </w:tc>
        <w:tc>
          <w:tcPr>
            <w:tcW w:w="1738" w:type="dxa"/>
            <w:shd w:val="clear" w:color="auto" w:fill="auto"/>
            <w:vAlign w:val="center"/>
          </w:tcPr>
          <w:p w14:paraId="27F38545">
            <w:pPr>
              <w:jc w:val="center"/>
              <w:rPr>
                <w:rFonts w:hint="default" w:ascii="宋体" w:hAnsi="宋体" w:eastAsia="宋体" w:cs="Times New Roman"/>
                <w:color w:val="auto"/>
                <w:kern w:val="2"/>
                <w:sz w:val="24"/>
                <w:szCs w:val="24"/>
                <w:highlight w:val="none"/>
                <w:lang w:val="en-US" w:eastAsia="zh-CN" w:bidi="ar-SA"/>
              </w:rPr>
            </w:pPr>
          </w:p>
        </w:tc>
        <w:tc>
          <w:tcPr>
            <w:tcW w:w="1337" w:type="dxa"/>
            <w:vAlign w:val="center"/>
          </w:tcPr>
          <w:p w14:paraId="09C01766">
            <w:pPr>
              <w:jc w:val="center"/>
              <w:rPr>
                <w:rFonts w:ascii="宋体" w:hAnsi="宋体" w:eastAsia="宋体" w:cs="Times New Roman"/>
                <w:color w:val="auto"/>
                <w:sz w:val="24"/>
                <w:szCs w:val="24"/>
                <w:highlight w:val="none"/>
              </w:rPr>
            </w:pPr>
          </w:p>
        </w:tc>
        <w:tc>
          <w:tcPr>
            <w:tcW w:w="1407" w:type="dxa"/>
            <w:vAlign w:val="center"/>
          </w:tcPr>
          <w:p w14:paraId="331E3632">
            <w:pPr>
              <w:jc w:val="center"/>
              <w:rPr>
                <w:rFonts w:ascii="宋体" w:hAnsi="宋体" w:eastAsia="宋体" w:cs="Times New Roman"/>
                <w:color w:val="auto"/>
                <w:sz w:val="24"/>
                <w:szCs w:val="24"/>
                <w:highlight w:val="none"/>
              </w:rPr>
            </w:pPr>
          </w:p>
        </w:tc>
      </w:tr>
      <w:tr w14:paraId="20230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802" w:type="dxa"/>
            <w:vAlign w:val="center"/>
          </w:tcPr>
          <w:p w14:paraId="703661BE">
            <w:pP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流动负债</w:t>
            </w:r>
          </w:p>
        </w:tc>
        <w:tc>
          <w:tcPr>
            <w:tcW w:w="1238" w:type="dxa"/>
            <w:vAlign w:val="center"/>
          </w:tcPr>
          <w:p w14:paraId="2EBABE91">
            <w:pPr>
              <w:jc w:val="center"/>
              <w:rPr>
                <w:rFonts w:ascii="宋体" w:hAnsi="宋体" w:eastAsia="宋体" w:cs="Times New Roman"/>
                <w:color w:val="auto"/>
                <w:sz w:val="24"/>
                <w:szCs w:val="24"/>
                <w:highlight w:val="none"/>
              </w:rPr>
            </w:pPr>
          </w:p>
        </w:tc>
        <w:tc>
          <w:tcPr>
            <w:tcW w:w="1738" w:type="dxa"/>
            <w:vAlign w:val="center"/>
          </w:tcPr>
          <w:p w14:paraId="0324BA79">
            <w:pPr>
              <w:jc w:val="center"/>
              <w:rPr>
                <w:rFonts w:ascii="宋体" w:hAnsi="宋体" w:eastAsia="宋体" w:cs="Times New Roman"/>
                <w:color w:val="auto"/>
                <w:sz w:val="24"/>
                <w:szCs w:val="24"/>
                <w:highlight w:val="none"/>
              </w:rPr>
            </w:pPr>
          </w:p>
        </w:tc>
        <w:tc>
          <w:tcPr>
            <w:tcW w:w="1337" w:type="dxa"/>
            <w:vAlign w:val="center"/>
          </w:tcPr>
          <w:p w14:paraId="567A9C7C">
            <w:pPr>
              <w:jc w:val="center"/>
              <w:rPr>
                <w:rFonts w:ascii="宋体" w:hAnsi="宋体" w:eastAsia="宋体" w:cs="Times New Roman"/>
                <w:color w:val="auto"/>
                <w:sz w:val="24"/>
                <w:szCs w:val="24"/>
                <w:highlight w:val="none"/>
              </w:rPr>
            </w:pPr>
          </w:p>
        </w:tc>
        <w:tc>
          <w:tcPr>
            <w:tcW w:w="1407" w:type="dxa"/>
            <w:vAlign w:val="center"/>
          </w:tcPr>
          <w:p w14:paraId="60EC84E2">
            <w:pPr>
              <w:jc w:val="center"/>
              <w:rPr>
                <w:rFonts w:ascii="宋体" w:hAnsi="宋体" w:eastAsia="宋体" w:cs="Times New Roman"/>
                <w:color w:val="auto"/>
                <w:sz w:val="24"/>
                <w:szCs w:val="24"/>
                <w:highlight w:val="none"/>
              </w:rPr>
            </w:pPr>
          </w:p>
        </w:tc>
      </w:tr>
      <w:tr w14:paraId="70E8E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802" w:type="dxa"/>
            <w:vAlign w:val="center"/>
          </w:tcPr>
          <w:p w14:paraId="5DDAF638">
            <w:pP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非流动负债</w:t>
            </w:r>
          </w:p>
        </w:tc>
        <w:tc>
          <w:tcPr>
            <w:tcW w:w="1238" w:type="dxa"/>
            <w:vAlign w:val="center"/>
          </w:tcPr>
          <w:p w14:paraId="732DF8EC">
            <w:pPr>
              <w:jc w:val="center"/>
              <w:rPr>
                <w:rFonts w:ascii="宋体" w:hAnsi="宋体" w:eastAsia="宋体" w:cs="Times New Roman"/>
                <w:color w:val="auto"/>
                <w:sz w:val="24"/>
                <w:szCs w:val="24"/>
                <w:highlight w:val="none"/>
              </w:rPr>
            </w:pPr>
          </w:p>
        </w:tc>
        <w:tc>
          <w:tcPr>
            <w:tcW w:w="1738" w:type="dxa"/>
            <w:vAlign w:val="center"/>
          </w:tcPr>
          <w:p w14:paraId="1766455B">
            <w:pPr>
              <w:jc w:val="center"/>
              <w:rPr>
                <w:rFonts w:ascii="宋体" w:hAnsi="宋体" w:eastAsia="宋体" w:cs="Times New Roman"/>
                <w:color w:val="auto"/>
                <w:sz w:val="24"/>
                <w:szCs w:val="24"/>
                <w:highlight w:val="none"/>
              </w:rPr>
            </w:pPr>
          </w:p>
        </w:tc>
        <w:tc>
          <w:tcPr>
            <w:tcW w:w="1337" w:type="dxa"/>
            <w:vAlign w:val="center"/>
          </w:tcPr>
          <w:p w14:paraId="5CFE552E">
            <w:pPr>
              <w:jc w:val="center"/>
              <w:rPr>
                <w:rFonts w:ascii="宋体" w:hAnsi="宋体" w:eastAsia="宋体" w:cs="Times New Roman"/>
                <w:color w:val="auto"/>
                <w:sz w:val="24"/>
                <w:szCs w:val="24"/>
                <w:highlight w:val="none"/>
              </w:rPr>
            </w:pPr>
          </w:p>
        </w:tc>
        <w:tc>
          <w:tcPr>
            <w:tcW w:w="1407" w:type="dxa"/>
            <w:vAlign w:val="center"/>
          </w:tcPr>
          <w:p w14:paraId="492CF338">
            <w:pPr>
              <w:jc w:val="center"/>
              <w:rPr>
                <w:rFonts w:ascii="宋体" w:hAnsi="宋体" w:eastAsia="宋体" w:cs="Times New Roman"/>
                <w:color w:val="auto"/>
                <w:sz w:val="24"/>
                <w:szCs w:val="24"/>
                <w:highlight w:val="none"/>
              </w:rPr>
            </w:pPr>
          </w:p>
        </w:tc>
      </w:tr>
      <w:tr w14:paraId="04CB6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802" w:type="dxa"/>
            <w:vAlign w:val="center"/>
          </w:tcPr>
          <w:p w14:paraId="1F4A174C">
            <w:pPr>
              <w:jc w:val="center"/>
              <w:rPr>
                <w:rFonts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负债总计</w:t>
            </w:r>
          </w:p>
        </w:tc>
        <w:tc>
          <w:tcPr>
            <w:tcW w:w="1238" w:type="dxa"/>
            <w:vAlign w:val="center"/>
          </w:tcPr>
          <w:p w14:paraId="29996EC6">
            <w:pPr>
              <w:jc w:val="center"/>
              <w:rPr>
                <w:rFonts w:ascii="宋体" w:hAnsi="宋体" w:eastAsia="宋体" w:cs="Times New Roman"/>
                <w:color w:val="auto"/>
                <w:sz w:val="24"/>
                <w:szCs w:val="24"/>
                <w:highlight w:val="none"/>
              </w:rPr>
            </w:pPr>
          </w:p>
        </w:tc>
        <w:tc>
          <w:tcPr>
            <w:tcW w:w="1738" w:type="dxa"/>
            <w:vAlign w:val="center"/>
          </w:tcPr>
          <w:p w14:paraId="6D4B81B8">
            <w:pPr>
              <w:jc w:val="center"/>
              <w:rPr>
                <w:rFonts w:ascii="宋体" w:hAnsi="宋体" w:eastAsia="宋体" w:cs="Times New Roman"/>
                <w:color w:val="auto"/>
                <w:sz w:val="24"/>
                <w:szCs w:val="24"/>
                <w:highlight w:val="none"/>
              </w:rPr>
            </w:pPr>
          </w:p>
        </w:tc>
        <w:tc>
          <w:tcPr>
            <w:tcW w:w="1337" w:type="dxa"/>
            <w:vAlign w:val="center"/>
          </w:tcPr>
          <w:p w14:paraId="52BF2113">
            <w:pPr>
              <w:jc w:val="center"/>
              <w:rPr>
                <w:rFonts w:ascii="宋体" w:hAnsi="宋体" w:eastAsia="宋体" w:cs="Times New Roman"/>
                <w:color w:val="auto"/>
                <w:sz w:val="24"/>
                <w:szCs w:val="24"/>
                <w:highlight w:val="none"/>
              </w:rPr>
            </w:pPr>
          </w:p>
        </w:tc>
        <w:tc>
          <w:tcPr>
            <w:tcW w:w="1407" w:type="dxa"/>
            <w:vAlign w:val="center"/>
          </w:tcPr>
          <w:p w14:paraId="3A791248">
            <w:pPr>
              <w:jc w:val="center"/>
              <w:rPr>
                <w:rFonts w:ascii="宋体" w:hAnsi="宋体" w:eastAsia="宋体" w:cs="Times New Roman"/>
                <w:color w:val="auto"/>
                <w:sz w:val="24"/>
                <w:szCs w:val="24"/>
                <w:highlight w:val="none"/>
              </w:rPr>
            </w:pPr>
          </w:p>
        </w:tc>
      </w:tr>
      <w:tr w14:paraId="5E445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802" w:type="dxa"/>
            <w:vAlign w:val="center"/>
          </w:tcPr>
          <w:p w14:paraId="19EA5C61">
            <w:pPr>
              <w:jc w:val="center"/>
              <w:rPr>
                <w:rFonts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净 资 产</w:t>
            </w:r>
          </w:p>
        </w:tc>
        <w:tc>
          <w:tcPr>
            <w:tcW w:w="1238" w:type="dxa"/>
            <w:vAlign w:val="center"/>
          </w:tcPr>
          <w:p w14:paraId="59483DC4">
            <w:pPr>
              <w:jc w:val="center"/>
              <w:rPr>
                <w:rFonts w:ascii="宋体" w:hAnsi="宋体" w:eastAsia="宋体" w:cs="Times New Roman"/>
                <w:color w:val="auto"/>
                <w:sz w:val="24"/>
                <w:szCs w:val="24"/>
                <w:highlight w:val="none"/>
              </w:rPr>
            </w:pPr>
          </w:p>
        </w:tc>
        <w:tc>
          <w:tcPr>
            <w:tcW w:w="1738" w:type="dxa"/>
            <w:vAlign w:val="center"/>
          </w:tcPr>
          <w:p w14:paraId="6321FD61">
            <w:pPr>
              <w:jc w:val="center"/>
              <w:rPr>
                <w:rFonts w:ascii="宋体" w:hAnsi="宋体" w:eastAsia="宋体" w:cs="Times New Roman"/>
                <w:color w:val="auto"/>
                <w:sz w:val="24"/>
                <w:szCs w:val="24"/>
                <w:highlight w:val="none"/>
              </w:rPr>
            </w:pPr>
          </w:p>
        </w:tc>
        <w:tc>
          <w:tcPr>
            <w:tcW w:w="1337" w:type="dxa"/>
            <w:vAlign w:val="center"/>
          </w:tcPr>
          <w:p w14:paraId="5D9B55A4">
            <w:pPr>
              <w:jc w:val="center"/>
              <w:rPr>
                <w:rFonts w:ascii="宋体" w:hAnsi="宋体" w:eastAsia="宋体" w:cs="Times New Roman"/>
                <w:color w:val="auto"/>
                <w:sz w:val="24"/>
                <w:szCs w:val="24"/>
                <w:highlight w:val="none"/>
              </w:rPr>
            </w:pPr>
          </w:p>
        </w:tc>
        <w:tc>
          <w:tcPr>
            <w:tcW w:w="1407" w:type="dxa"/>
            <w:vAlign w:val="center"/>
          </w:tcPr>
          <w:p w14:paraId="36A1F4A7">
            <w:pPr>
              <w:jc w:val="center"/>
              <w:rPr>
                <w:rFonts w:ascii="宋体" w:hAnsi="宋体" w:eastAsia="宋体" w:cs="Times New Roman"/>
                <w:color w:val="auto"/>
                <w:sz w:val="24"/>
                <w:szCs w:val="24"/>
                <w:highlight w:val="none"/>
              </w:rPr>
            </w:pPr>
          </w:p>
        </w:tc>
      </w:tr>
    </w:tbl>
    <w:p w14:paraId="17B0ED71">
      <w:pPr>
        <w:ind w:right="840" w:firstLine="472" w:firstLineChars="225"/>
        <w:jc w:val="right"/>
        <w:rPr>
          <w:rFonts w:ascii="Times New Roman" w:hAnsi="Times New Roman" w:eastAsia="宋体" w:cs="Times New Roman"/>
          <w:color w:val="auto"/>
          <w:szCs w:val="24"/>
          <w:highlight w:val="none"/>
        </w:rPr>
      </w:pPr>
      <w:r>
        <w:rPr>
          <w:rFonts w:hint="eastAsia" w:ascii="Times New Roman" w:hAnsi="Times New Roman" w:eastAsia="宋体" w:cs="Times New Roman"/>
          <w:color w:val="auto"/>
          <w:szCs w:val="24"/>
          <w:highlight w:val="none"/>
        </w:rPr>
        <w:t>（保留两位小数点）</w:t>
      </w:r>
    </w:p>
    <w:p w14:paraId="57081BDB">
      <w:pPr>
        <w:rPr>
          <w:rFonts w:ascii="宋体" w:hAnsi="宋体" w:eastAsia="宋体" w:cs="Times New Roman"/>
          <w:color w:val="auto"/>
          <w:sz w:val="36"/>
          <w:szCs w:val="36"/>
          <w:highlight w:val="none"/>
        </w:rPr>
      </w:pPr>
    </w:p>
    <w:p w14:paraId="5D6C5DA5">
      <w:pPr>
        <w:rPr>
          <w:rFonts w:ascii="宋体" w:hAnsi="宋体" w:eastAsia="宋体" w:cs="Times New Roman"/>
          <w:color w:val="auto"/>
          <w:sz w:val="36"/>
          <w:szCs w:val="36"/>
          <w:highlight w:val="none"/>
        </w:rPr>
      </w:pPr>
      <w:r>
        <w:rPr>
          <w:rFonts w:hint="eastAsia" w:ascii="宋体" w:hAnsi="宋体" w:eastAsia="宋体" w:cs="Times New Roman"/>
          <w:color w:val="auto"/>
          <w:sz w:val="36"/>
          <w:szCs w:val="36"/>
          <w:highlight w:val="none"/>
        </w:rPr>
        <w:t>备注：</w:t>
      </w:r>
    </w:p>
    <w:p w14:paraId="4D903FE1">
      <w:pPr>
        <w:rPr>
          <w:rFonts w:ascii="Times New Roman" w:hAnsi="Times New Roman" w:eastAsia="宋体" w:cs="Times New Roman"/>
          <w:color w:val="auto"/>
          <w:szCs w:val="24"/>
          <w:highlight w:val="none"/>
        </w:rPr>
      </w:pPr>
    </w:p>
    <w:p w14:paraId="73A21AD5">
      <w:pPr>
        <w:ind w:left="360" w:hanging="360" w:hangingChars="100"/>
        <w:rPr>
          <w:rFonts w:ascii="仿宋_GB2312" w:hAnsi="Times New Roman" w:eastAsia="仿宋_GB2312" w:cs="Times New Roman"/>
          <w:color w:val="auto"/>
          <w:sz w:val="36"/>
          <w:szCs w:val="36"/>
          <w:highlight w:val="none"/>
        </w:rPr>
      </w:pPr>
      <w:r>
        <w:rPr>
          <w:rFonts w:hint="eastAsia" w:ascii="仿宋_GB2312" w:hAnsi="Times New Roman" w:eastAsia="仿宋_GB2312" w:cs="Times New Roman"/>
          <w:color w:val="auto"/>
          <w:sz w:val="36"/>
          <w:szCs w:val="36"/>
          <w:highlight w:val="none"/>
        </w:rPr>
        <w:t>1．本备案表应与资产评估报告书同时使用,评估报告的使用各方应关注评估报告书中所揭示的特别事项和评估报告的法律效力等内容,合理使用评估结果。</w:t>
      </w:r>
    </w:p>
    <w:p w14:paraId="384296FA">
      <w:pPr>
        <w:ind w:left="360" w:hanging="360" w:hangingChars="100"/>
        <w:rPr>
          <w:rFonts w:ascii="Times New Roman" w:hAnsi="Times New Roman" w:eastAsia="宋体" w:cs="Times New Roman"/>
          <w:color w:val="auto"/>
          <w:sz w:val="36"/>
          <w:szCs w:val="36"/>
          <w:highlight w:val="none"/>
        </w:rPr>
      </w:pPr>
      <w:r>
        <w:rPr>
          <w:rFonts w:hint="eastAsia" w:ascii="仿宋_GB2312" w:hAnsi="Times New Roman" w:eastAsia="仿宋_GB2312" w:cs="Times New Roman"/>
          <w:color w:val="auto"/>
          <w:sz w:val="36"/>
          <w:szCs w:val="36"/>
          <w:highlight w:val="none"/>
        </w:rPr>
        <w:t>2．本项目所出具的资产评估报告的法律责任由受托评估机构和在评估报告中签字的具有相应执业资格的评估人员共同承担，不因本备案而转移其法律责任。</w:t>
      </w:r>
    </w:p>
    <w:p w14:paraId="52C98E73">
      <w:pPr>
        <w:ind w:left="360" w:hanging="360" w:hangingChars="100"/>
        <w:rPr>
          <w:rFonts w:ascii="Times New Roman" w:hAnsi="Times New Roman" w:eastAsia="宋体" w:cs="Times New Roman"/>
          <w:color w:val="auto"/>
          <w:szCs w:val="24"/>
          <w:highlight w:val="none"/>
        </w:rPr>
      </w:pPr>
      <w:r>
        <w:rPr>
          <w:rFonts w:hint="eastAsia" w:ascii="仿宋_GB2312" w:hAnsi="Times New Roman" w:eastAsia="仿宋_GB2312" w:cs="Times New Roman"/>
          <w:color w:val="auto"/>
          <w:sz w:val="36"/>
          <w:szCs w:val="36"/>
          <w:highlight w:val="none"/>
        </w:rPr>
        <w:t>3．本表一式三份。一份留存备案单位，一份送产权持有单位，一份送上级单位。</w:t>
      </w:r>
    </w:p>
    <w:p w14:paraId="7B20BE71">
      <w:pPr>
        <w:rPr>
          <w:rFonts w:ascii="Times New Roman" w:hAnsi="Times New Roman" w:eastAsia="宋体" w:cs="Times New Roman"/>
          <w:color w:val="auto"/>
          <w:szCs w:val="24"/>
          <w:highlight w:val="none"/>
        </w:rPr>
      </w:pPr>
    </w:p>
    <w:p w14:paraId="799B8389">
      <w:pPr>
        <w:rPr>
          <w:color w:val="auto"/>
          <w:highlight w:val="none"/>
        </w:rPr>
      </w:pPr>
    </w:p>
    <w:p w14:paraId="3021CC1E">
      <w:pPr>
        <w:rPr>
          <w:color w:val="auto"/>
          <w:highlight w:val="none"/>
        </w:rPr>
      </w:pPr>
    </w:p>
    <w:p w14:paraId="17B104AC">
      <w:pPr>
        <w:rPr>
          <w:color w:val="auto"/>
          <w:highlight w:val="none"/>
        </w:rPr>
      </w:pPr>
    </w:p>
    <w:p w14:paraId="0553DD0D">
      <w:pPr>
        <w:rPr>
          <w:color w:val="auto"/>
          <w:highlight w:val="none"/>
        </w:rPr>
      </w:pPr>
    </w:p>
    <w:p w14:paraId="1409BA57">
      <w:pPr>
        <w:rPr>
          <w:color w:val="auto"/>
          <w:highlight w:val="none"/>
        </w:rPr>
      </w:pPr>
    </w:p>
    <w:p w14:paraId="5210DE92">
      <w:pPr>
        <w:rPr>
          <w:color w:val="auto"/>
          <w:highlight w:val="none"/>
        </w:rPr>
      </w:pPr>
    </w:p>
    <w:p w14:paraId="05CE325C">
      <w:pPr>
        <w:rPr>
          <w:color w:val="auto"/>
          <w:highlight w:val="none"/>
        </w:rPr>
      </w:pPr>
    </w:p>
    <w:p w14:paraId="01EB223F">
      <w:pPr>
        <w:rPr>
          <w:color w:val="auto"/>
          <w:highlight w:val="none"/>
        </w:rPr>
      </w:pPr>
    </w:p>
    <w:p w14:paraId="40BEAA9F">
      <w:pPr>
        <w:rPr>
          <w:color w:val="auto"/>
          <w:highlight w:val="none"/>
        </w:rPr>
      </w:pPr>
    </w:p>
    <w:p w14:paraId="37D7FD7D">
      <w:pPr>
        <w:rPr>
          <w:color w:val="auto"/>
          <w:highlight w:val="none"/>
        </w:rPr>
      </w:pPr>
    </w:p>
    <w:p w14:paraId="22FAC8DF">
      <w:pPr>
        <w:rPr>
          <w:color w:val="auto"/>
          <w:highlight w:val="none"/>
        </w:rPr>
      </w:pPr>
    </w:p>
    <w:p w14:paraId="2684EA1F">
      <w:pPr>
        <w:rPr>
          <w:color w:val="auto"/>
          <w:highlight w:val="none"/>
        </w:rPr>
      </w:pPr>
    </w:p>
    <w:p w14:paraId="020C63EC">
      <w:pPr>
        <w:rPr>
          <w:color w:val="auto"/>
          <w:highlight w:val="none"/>
        </w:rPr>
      </w:pPr>
    </w:p>
    <w:p w14:paraId="018FDA53">
      <w:pPr>
        <w:rPr>
          <w:color w:val="auto"/>
          <w:highlight w:val="none"/>
        </w:rPr>
      </w:pPr>
    </w:p>
    <w:p w14:paraId="16F60F70">
      <w:pPr>
        <w:rPr>
          <w:color w:val="auto"/>
          <w:highlight w:val="none"/>
        </w:rPr>
      </w:pPr>
    </w:p>
    <w:p w14:paraId="1B97E25F">
      <w:pPr>
        <w:rPr>
          <w:color w:val="auto"/>
          <w:highlight w:val="none"/>
        </w:rPr>
      </w:pPr>
    </w:p>
    <w:p w14:paraId="18E80267">
      <w:pPr>
        <w:rPr>
          <w:color w:val="auto"/>
          <w:highlight w:val="none"/>
        </w:rPr>
      </w:pPr>
    </w:p>
    <w:p w14:paraId="3FBE110C">
      <w:pPr>
        <w:ind w:firstLine="600" w:firstLineChars="200"/>
        <w:rPr>
          <w:rFonts w:ascii="仿宋_GB2312" w:hAnsi="仿宋_GB2312" w:eastAsia="仿宋_GB2312" w:cs="仿宋_GB2312"/>
          <w:color w:val="auto"/>
          <w:sz w:val="30"/>
          <w:szCs w:val="30"/>
          <w:highlight w:val="none"/>
        </w:rPr>
      </w:pPr>
    </w:p>
    <w:sectPr>
      <w:headerReference r:id="rId5" w:type="first"/>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乐" w:date="2025-10-15T10:16:34Z" w:initials="">
    <w:p w14:paraId="32AEF066">
      <w:pPr>
        <w:pStyle w:val="2"/>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2AEF06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华文仿宋">
    <w:altName w:val="仿宋"/>
    <w:panose1 w:val="02010600040101010101"/>
    <w:charset w:val="86"/>
    <w:family w:val="auto"/>
    <w:pitch w:val="default"/>
    <w:sig w:usb0="00000000" w:usb1="0000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3E29A">
    <w:pPr>
      <w:pStyle w:val="6"/>
    </w:pPr>
  </w:p>
  <w:p w14:paraId="1D6F6942">
    <w:pPr>
      <w:pStyle w:val="6"/>
      <w:jc w:val="both"/>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乐">
    <w15:presenceInfo w15:providerId="WPS Office" w15:userId="4031989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1ZWE0YTE2ODQ0ZmJlZmFjMTlkZDJlM2VmY2E1N2QifQ=="/>
  </w:docVars>
  <w:rsids>
    <w:rsidRoot w:val="00855582"/>
    <w:rsid w:val="0002007D"/>
    <w:rsid w:val="0006794E"/>
    <w:rsid w:val="00082A25"/>
    <w:rsid w:val="00095E35"/>
    <w:rsid w:val="000A23B8"/>
    <w:rsid w:val="000A55AB"/>
    <w:rsid w:val="000E08F9"/>
    <w:rsid w:val="0013690C"/>
    <w:rsid w:val="0014498D"/>
    <w:rsid w:val="001555C3"/>
    <w:rsid w:val="00180B5F"/>
    <w:rsid w:val="001A54D7"/>
    <w:rsid w:val="001B6792"/>
    <w:rsid w:val="001C13E8"/>
    <w:rsid w:val="001F5F61"/>
    <w:rsid w:val="00200773"/>
    <w:rsid w:val="002313E5"/>
    <w:rsid w:val="002336F1"/>
    <w:rsid w:val="00237690"/>
    <w:rsid w:val="00245C9E"/>
    <w:rsid w:val="002726A9"/>
    <w:rsid w:val="00295644"/>
    <w:rsid w:val="00307505"/>
    <w:rsid w:val="003122CE"/>
    <w:rsid w:val="00367C03"/>
    <w:rsid w:val="00377EEF"/>
    <w:rsid w:val="003858A4"/>
    <w:rsid w:val="0039445E"/>
    <w:rsid w:val="003A653D"/>
    <w:rsid w:val="003B67ED"/>
    <w:rsid w:val="003D4833"/>
    <w:rsid w:val="003F38FC"/>
    <w:rsid w:val="0047227F"/>
    <w:rsid w:val="004B4600"/>
    <w:rsid w:val="004E082B"/>
    <w:rsid w:val="00505A59"/>
    <w:rsid w:val="00534B7C"/>
    <w:rsid w:val="00534C2C"/>
    <w:rsid w:val="00551A1D"/>
    <w:rsid w:val="005E35A0"/>
    <w:rsid w:val="00625A06"/>
    <w:rsid w:val="006457F0"/>
    <w:rsid w:val="00664932"/>
    <w:rsid w:val="006C3C80"/>
    <w:rsid w:val="006D024F"/>
    <w:rsid w:val="006D5871"/>
    <w:rsid w:val="006F3699"/>
    <w:rsid w:val="00703722"/>
    <w:rsid w:val="00711887"/>
    <w:rsid w:val="007173CC"/>
    <w:rsid w:val="007278D0"/>
    <w:rsid w:val="00751D9A"/>
    <w:rsid w:val="007A4ED3"/>
    <w:rsid w:val="007C2D6E"/>
    <w:rsid w:val="007D4047"/>
    <w:rsid w:val="00804CDC"/>
    <w:rsid w:val="00855582"/>
    <w:rsid w:val="008C29B6"/>
    <w:rsid w:val="008D2BDE"/>
    <w:rsid w:val="008D56C6"/>
    <w:rsid w:val="008D59F2"/>
    <w:rsid w:val="009F042B"/>
    <w:rsid w:val="00A21262"/>
    <w:rsid w:val="00A33BCD"/>
    <w:rsid w:val="00A34A30"/>
    <w:rsid w:val="00A663C3"/>
    <w:rsid w:val="00AB1E62"/>
    <w:rsid w:val="00AF51B0"/>
    <w:rsid w:val="00B53161"/>
    <w:rsid w:val="00B74028"/>
    <w:rsid w:val="00B750FD"/>
    <w:rsid w:val="00B779F2"/>
    <w:rsid w:val="00BB4160"/>
    <w:rsid w:val="00BB709A"/>
    <w:rsid w:val="00BD077A"/>
    <w:rsid w:val="00BF6349"/>
    <w:rsid w:val="00C16AD5"/>
    <w:rsid w:val="00C242C1"/>
    <w:rsid w:val="00C62F19"/>
    <w:rsid w:val="00C9471C"/>
    <w:rsid w:val="00CA46F7"/>
    <w:rsid w:val="00CA71B7"/>
    <w:rsid w:val="00CC60ED"/>
    <w:rsid w:val="00CD02BF"/>
    <w:rsid w:val="00D811B2"/>
    <w:rsid w:val="00D84DCA"/>
    <w:rsid w:val="00D90BD7"/>
    <w:rsid w:val="00DD450D"/>
    <w:rsid w:val="00E008A7"/>
    <w:rsid w:val="00E044E8"/>
    <w:rsid w:val="00E20CB2"/>
    <w:rsid w:val="00E33AD0"/>
    <w:rsid w:val="00E91AB8"/>
    <w:rsid w:val="00EA0023"/>
    <w:rsid w:val="00EA2F5D"/>
    <w:rsid w:val="00F5397E"/>
    <w:rsid w:val="00F8680C"/>
    <w:rsid w:val="00FA2DE5"/>
    <w:rsid w:val="00FB174C"/>
    <w:rsid w:val="00FC4C2A"/>
    <w:rsid w:val="00FD254D"/>
    <w:rsid w:val="092459DC"/>
    <w:rsid w:val="0DE95268"/>
    <w:rsid w:val="0F341371"/>
    <w:rsid w:val="10415FD7"/>
    <w:rsid w:val="1AF13A90"/>
    <w:rsid w:val="1D3201B7"/>
    <w:rsid w:val="201E7E37"/>
    <w:rsid w:val="223C508D"/>
    <w:rsid w:val="22BD0EF5"/>
    <w:rsid w:val="2BC21ABF"/>
    <w:rsid w:val="2D891A51"/>
    <w:rsid w:val="2D8C73B8"/>
    <w:rsid w:val="30D456BC"/>
    <w:rsid w:val="32C15AB3"/>
    <w:rsid w:val="3806513F"/>
    <w:rsid w:val="44AD0C81"/>
    <w:rsid w:val="461E3993"/>
    <w:rsid w:val="52365875"/>
    <w:rsid w:val="55F83D27"/>
    <w:rsid w:val="61E72C14"/>
    <w:rsid w:val="63EF6EBE"/>
    <w:rsid w:val="67854378"/>
    <w:rsid w:val="67CA0E60"/>
    <w:rsid w:val="691D19E1"/>
    <w:rsid w:val="702D331A"/>
    <w:rsid w:val="705E6224"/>
    <w:rsid w:val="721523DA"/>
    <w:rsid w:val="7388424C"/>
    <w:rsid w:val="769A0665"/>
    <w:rsid w:val="785D1499"/>
    <w:rsid w:val="7B9050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Date"/>
    <w:basedOn w:val="1"/>
    <w:next w:val="1"/>
    <w:link w:val="16"/>
    <w:semiHidden/>
    <w:unhideWhenUsed/>
    <w:qFormat/>
    <w:uiPriority w:val="99"/>
    <w:pPr>
      <w:ind w:left="100" w:leftChars="2500"/>
    </w:pPr>
  </w:style>
  <w:style w:type="paragraph" w:styleId="4">
    <w:name w:val="Balloon Text"/>
    <w:basedOn w:val="1"/>
    <w:link w:val="15"/>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19"/>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8">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paragraph" w:styleId="13">
    <w:name w:val="No Spacing"/>
    <w:link w:val="14"/>
    <w:qFormat/>
    <w:uiPriority w:val="1"/>
    <w:rPr>
      <w:rFonts w:asciiTheme="minorHAnsi" w:hAnsiTheme="minorHAnsi" w:eastAsiaTheme="minorEastAsia" w:cstheme="minorBidi"/>
      <w:kern w:val="0"/>
      <w:sz w:val="22"/>
      <w:szCs w:val="22"/>
      <w:lang w:val="en-US" w:eastAsia="zh-CN" w:bidi="ar-SA"/>
    </w:rPr>
  </w:style>
  <w:style w:type="character" w:customStyle="1" w:styleId="14">
    <w:name w:val="无间隔 Char"/>
    <w:basedOn w:val="11"/>
    <w:link w:val="13"/>
    <w:qFormat/>
    <w:uiPriority w:val="1"/>
    <w:rPr>
      <w:kern w:val="0"/>
      <w:sz w:val="22"/>
    </w:rPr>
  </w:style>
  <w:style w:type="character" w:customStyle="1" w:styleId="15">
    <w:name w:val="批注框文本 Char"/>
    <w:basedOn w:val="11"/>
    <w:link w:val="4"/>
    <w:semiHidden/>
    <w:qFormat/>
    <w:uiPriority w:val="99"/>
    <w:rPr>
      <w:sz w:val="18"/>
      <w:szCs w:val="18"/>
    </w:rPr>
  </w:style>
  <w:style w:type="character" w:customStyle="1" w:styleId="16">
    <w:name w:val="日期 Char"/>
    <w:basedOn w:val="11"/>
    <w:link w:val="3"/>
    <w:semiHidden/>
    <w:qFormat/>
    <w:uiPriority w:val="99"/>
  </w:style>
  <w:style w:type="character" w:customStyle="1" w:styleId="17">
    <w:name w:val="页眉 Char"/>
    <w:basedOn w:val="11"/>
    <w:link w:val="6"/>
    <w:qFormat/>
    <w:uiPriority w:val="99"/>
    <w:rPr>
      <w:sz w:val="18"/>
      <w:szCs w:val="18"/>
    </w:rPr>
  </w:style>
  <w:style w:type="character" w:customStyle="1" w:styleId="18">
    <w:name w:val="页脚 Char"/>
    <w:basedOn w:val="11"/>
    <w:link w:val="5"/>
    <w:qFormat/>
    <w:uiPriority w:val="99"/>
    <w:rPr>
      <w:sz w:val="18"/>
      <w:szCs w:val="18"/>
    </w:rPr>
  </w:style>
  <w:style w:type="character" w:customStyle="1" w:styleId="19">
    <w:name w:val="HTML 预设格式 Char"/>
    <w:basedOn w:val="11"/>
    <w:link w:val="7"/>
    <w:semiHidden/>
    <w:qFormat/>
    <w:uiPriority w:val="99"/>
    <w:rPr>
      <w:rFonts w:ascii="宋体" w:hAnsi="宋体" w:eastAsia="宋体" w:cs="宋体"/>
      <w:kern w:val="0"/>
      <w:sz w:val="24"/>
      <w:szCs w:val="24"/>
    </w:rPr>
  </w:style>
  <w:style w:type="character" w:customStyle="1" w:styleId="20">
    <w:name w:val="apple-converted-space"/>
    <w:basedOn w:val="11"/>
    <w:qFormat/>
    <w:uiPriority w:val="0"/>
  </w:style>
  <w:style w:type="paragraph" w:customStyle="1" w:styleId="21">
    <w:name w:val="正文表格"/>
    <w:basedOn w:val="1"/>
    <w:qFormat/>
    <w:uiPriority w:val="0"/>
    <w:pPr>
      <w:spacing w:before="60" w:after="60"/>
    </w:pPr>
    <w:rPr>
      <w:rFonts w:ascii="Times New Roman" w:hAnsi="Times New Roman" w:eastAsia="宋体" w:cs="Times New Roman"/>
      <w:sz w:val="24"/>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verPageProperties xmlns="http://schemas.microsoft.com/office/2006/coverPageProps">
  <PublishDate>2018-06-23T00:00:00</PublishDate>
  <Abstract>济南市公共资源交易中心（国有产权）济南产权交易中心有限公司</Abstract>
  <CompanyAddress/>
  <CompanyPhone/>
  <CompanyFax/>
  <CompanyEmail/>
</CoverPag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9C075D-848D-42CF-A69D-73F3C598348E}">
  <ds:schemaRefs/>
</ds:datastoreItem>
</file>

<file path=customXml/itemProps3.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Template>
  <Company>Chna</Company>
  <Pages>11</Pages>
  <Words>2691</Words>
  <Characters>2832</Characters>
  <Lines>33</Lines>
  <Paragraphs>9</Paragraphs>
  <TotalTime>1</TotalTime>
  <ScaleCrop>false</ScaleCrop>
  <LinksUpToDate>false</LinksUpToDate>
  <CharactersWithSpaces>3040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2022-05-13T02:10:00Z</dcterms:created>
  <dc:creator>User</dc:creator>
  <cp:lastModifiedBy>悟空</cp:lastModifiedBy>
  <cp:lastPrinted>2025-12-02T01:17:00Z</cp:lastPrinted>
  <dcterms:modified xsi:type="dcterms:W3CDTF">2025-12-05T01:25:23Z</dcterms:modified>
  <dc:title>资产出租工作汇总</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ACB05743AFB8478FAB55465ABFAE6017_13</vt:lpwstr>
  </property>
  <property fmtid="{D5CDD505-2E9C-101B-9397-08002B2CF9AE}" pid="4" name="KSOTemplateDocerSaveRecord">
    <vt:lpwstr>eyJoZGlkIjoiYWQyNzhjMzk1NTM0NDA2Zjg0NjkzY2Q0MzRmMmJlNDEiLCJ1c2VySWQiOiIyOTQwNTkzNjcifQ==</vt:lpwstr>
  </property>
</Properties>
</file>